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46ECC" w14:textId="77777777" w:rsidR="0095343F" w:rsidRPr="00B7442A" w:rsidRDefault="00B7442A" w:rsidP="00B7442A">
      <w:pPr>
        <w:pStyle w:val="Heading1"/>
        <w:rPr>
          <w:rFonts w:ascii="Times New Roman" w:eastAsia="Times New Roman" w:hAnsi="Times New Roman" w:cs="Times New Roman"/>
          <w:b/>
          <w:bCs/>
          <w:color w:val="000000"/>
          <w:sz w:val="24"/>
        </w:rPr>
      </w:pPr>
      <w:r w:rsidRPr="00B7442A">
        <w:rPr>
          <w:rFonts w:eastAsia="Times New Roman"/>
          <w:b/>
          <w:bCs/>
        </w:rPr>
        <w:t>STANDING BEFORE THE LAND, AS A LANDED SENTIENT PERSON</w:t>
      </w:r>
    </w:p>
    <w:p w14:paraId="227B4D1F" w14:textId="77777777" w:rsidR="0095343F" w:rsidRDefault="0095343F" w:rsidP="0095343F">
      <w:pPr>
        <w:spacing w:after="100" w:afterAutospacing="1" w:line="240" w:lineRule="auto"/>
        <w:rPr>
          <w:rFonts w:ascii="Times New Roman" w:eastAsia="Times New Roman" w:hAnsi="Times New Roman" w:cs="Times New Roman"/>
          <w:b/>
          <w:bCs/>
          <w:color w:val="212529"/>
          <w:sz w:val="24"/>
          <w:szCs w:val="24"/>
        </w:rPr>
      </w:pPr>
    </w:p>
    <w:p w14:paraId="6F4A5CE6" w14:textId="77777777" w:rsidR="00B7442A" w:rsidRDefault="00B7442A" w:rsidP="00B7442A">
      <w:pPr>
        <w:pStyle w:val="Heading1"/>
        <w:rPr>
          <w:rFonts w:ascii="Times New Roman" w:eastAsia="Times New Roman" w:hAnsi="Times New Roman" w:cs="Times New Roman"/>
          <w:b/>
          <w:color w:val="000000"/>
          <w:sz w:val="24"/>
        </w:rPr>
      </w:pPr>
      <w:r>
        <w:rPr>
          <w:rFonts w:eastAsia="Times New Roman"/>
        </w:rPr>
        <w:t>A beneficial interest statement</w:t>
      </w:r>
      <w:r>
        <w:rPr>
          <w:rFonts w:ascii="Times New Roman" w:eastAsia="Times New Roman" w:hAnsi="Times New Roman" w:cs="Times New Roman"/>
          <w:b/>
          <w:color w:val="000000"/>
          <w:sz w:val="24"/>
        </w:rPr>
        <w:t>:</w:t>
      </w:r>
    </w:p>
    <w:p w14:paraId="12DADE11" w14:textId="77777777" w:rsidR="00B7442A" w:rsidRPr="00B7442A" w:rsidRDefault="00B7442A" w:rsidP="00B7442A"/>
    <w:p w14:paraId="7185E50D" w14:textId="77777777" w:rsidR="0095343F" w:rsidRPr="005F19D5" w:rsidRDefault="005F19D5" w:rsidP="005F19D5">
      <w:pPr>
        <w:pStyle w:val="ListParagraph"/>
        <w:numPr>
          <w:ilvl w:val="0"/>
          <w:numId w:val="1"/>
        </w:numPr>
        <w:spacing w:after="100" w:afterAutospacing="1" w:line="240" w:lineRule="auto"/>
        <w:rPr>
          <w:rFonts w:ascii="Times New Roman" w:eastAsia="Times New Roman" w:hAnsi="Times New Roman" w:cs="Times New Roman"/>
          <w:color w:val="212529"/>
          <w:sz w:val="24"/>
          <w:szCs w:val="24"/>
        </w:rPr>
      </w:pPr>
      <w:r w:rsidRPr="005F19D5">
        <w:rPr>
          <w:rFonts w:ascii="Arial" w:hAnsi="Arial" w:cs="Arial"/>
          <w:color w:val="212529"/>
          <w:sz w:val="30"/>
          <w:szCs w:val="30"/>
          <w:shd w:val="clear" w:color="auto" w:fill="FFFFFF"/>
        </w:rPr>
        <w:t>I am a Beneficiary of the public "public trust doctrine" and as such a beneficiary of that trust</w:t>
      </w:r>
      <w:r>
        <w:rPr>
          <w:rFonts w:ascii="Arial" w:hAnsi="Arial" w:cs="Arial"/>
          <w:color w:val="212529"/>
          <w:sz w:val="30"/>
          <w:szCs w:val="30"/>
          <w:shd w:val="clear" w:color="auto" w:fill="FFFFFF"/>
        </w:rPr>
        <w:t>…</w:t>
      </w:r>
    </w:p>
    <w:p w14:paraId="38B10A60" w14:textId="77777777" w:rsidR="0072182E" w:rsidRDefault="005F19D5" w:rsidP="0072182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 xml:space="preserve">There is no claim of actual injury to any party that can be gleaned from the public filing of this matter. There is no verified complaint by an actual eyewitness, only a nun-verified presumption which requires no mounting of defense. </w:t>
      </w:r>
      <w:bookmarkStart w:id="0" w:name="_Hlk83968704"/>
      <w:r>
        <w:rPr>
          <w:rFonts w:ascii="Times New Roman" w:eastAsia="Times New Roman" w:hAnsi="Times New Roman" w:cs="Times New Roman"/>
          <w:color w:val="212529"/>
          <w:sz w:val="24"/>
          <w:szCs w:val="24"/>
        </w:rPr>
        <w:t>The law requires due process, The Law is the Bill of Rights of Common-Law</w:t>
      </w:r>
      <w:r w:rsidR="0072182E">
        <w:rPr>
          <w:rFonts w:ascii="Times New Roman" w:eastAsia="Times New Roman" w:hAnsi="Times New Roman" w:cs="Times New Roman"/>
          <w:color w:val="212529"/>
          <w:sz w:val="24"/>
          <w:szCs w:val="24"/>
        </w:rPr>
        <w:t xml:space="preserve">, established under </w:t>
      </w:r>
      <w:r w:rsidR="0072182E">
        <w:rPr>
          <w:rStyle w:val="Emphasis"/>
          <w:rFonts w:ascii="Arial" w:hAnsi="Arial" w:cs="Arial"/>
          <w:i w:val="0"/>
          <w:iCs w:val="0"/>
          <w:color w:val="212529"/>
          <w:sz w:val="30"/>
          <w:szCs w:val="30"/>
          <w:bdr w:val="none" w:sz="0" w:space="0" w:color="auto" w:frame="1"/>
          <w:shd w:val="clear" w:color="auto" w:fill="96CEFE"/>
        </w:rPr>
        <w:t>the doctrine of the common law,</w:t>
      </w:r>
      <w:r w:rsidR="0072182E">
        <w:rPr>
          <w:rFonts w:ascii="Arial" w:hAnsi="Arial" w:cs="Arial"/>
          <w:color w:val="212529"/>
          <w:sz w:val="30"/>
          <w:szCs w:val="30"/>
          <w:shd w:val="clear" w:color="auto" w:fill="FFFFFF"/>
        </w:rPr>
        <w:t> </w:t>
      </w:r>
      <w:r w:rsidR="0072182E">
        <w:rPr>
          <w:rFonts w:ascii="Arial" w:hAnsi="Arial" w:cs="Arial"/>
          <w:color w:val="004B8D"/>
          <w:sz w:val="30"/>
          <w:szCs w:val="30"/>
        </w:rPr>
        <w:t xml:space="preserve">that such </w:t>
      </w:r>
      <w:r w:rsidR="0072182E">
        <w:rPr>
          <w:rStyle w:val="Emphasis"/>
          <w:rFonts w:ascii="Arial" w:hAnsi="Arial" w:cs="Arial"/>
          <w:i w:val="0"/>
          <w:iCs w:val="0"/>
          <w:color w:val="004B8D"/>
          <w:sz w:val="30"/>
          <w:szCs w:val="30"/>
          <w:bdr w:val="none" w:sz="0" w:space="0" w:color="auto" w:frame="1"/>
          <w:shd w:val="clear" w:color="auto" w:fill="96CEFE"/>
        </w:rPr>
        <w:t>common-law right</w:t>
      </w:r>
      <w:r w:rsidR="0072182E">
        <w:rPr>
          <w:rFonts w:ascii="Arial" w:hAnsi="Arial" w:cs="Arial"/>
          <w:color w:val="004B8D"/>
          <w:sz w:val="30"/>
          <w:szCs w:val="30"/>
        </w:rPr>
        <w:t> is not subject to the limitations of the amended </w:t>
      </w:r>
      <w:r w:rsidR="0072182E">
        <w:rPr>
          <w:rStyle w:val="Emphasis"/>
          <w:rFonts w:ascii="Arial" w:hAnsi="Arial" w:cs="Arial"/>
          <w:i w:val="0"/>
          <w:iCs w:val="0"/>
          <w:color w:val="004B8D"/>
          <w:sz w:val="30"/>
          <w:szCs w:val="30"/>
          <w:bdr w:val="none" w:sz="0" w:space="0" w:color="auto" w:frame="1"/>
          <w:shd w:val="clear" w:color="auto" w:fill="96CEFE"/>
        </w:rPr>
        <w:t>law</w:t>
      </w:r>
      <w:r w:rsidR="0072182E">
        <w:rPr>
          <w:rFonts w:ascii="Arial" w:hAnsi="Arial" w:cs="Arial"/>
          <w:color w:val="004B8D"/>
          <w:sz w:val="30"/>
          <w:szCs w:val="30"/>
        </w:rPr>
        <w:t>.</w:t>
      </w:r>
      <w:r w:rsidR="0072182E">
        <w:rPr>
          <w:rFonts w:ascii="Times New Roman" w:eastAsia="Times New Roman" w:hAnsi="Times New Roman" w:cs="Times New Roman"/>
          <w:color w:val="212529"/>
          <w:sz w:val="24"/>
          <w:szCs w:val="24"/>
        </w:rPr>
        <w:t xml:space="preserve"> As has been well-established, a statute is not law, and any time a judicial officer is enforcing the statute, they possess no judicial power in doing so. The doctrine of the common law, is nowhere indicated by the establisher’s of the Constitution, the trust agreement, to be the English common law, this has always been a presumption. </w:t>
      </w:r>
      <w:r w:rsidR="0072182E" w:rsidRPr="0072182E">
        <w:rPr>
          <w:rFonts w:ascii="Arial" w:eastAsia="Times New Roman" w:hAnsi="Arial" w:cs="Arial"/>
          <w:b/>
          <w:bCs/>
          <w:color w:val="212529"/>
          <w:sz w:val="20"/>
          <w:szCs w:val="20"/>
        </w:rPr>
        <w:t>That the remedy clause protects </w:t>
      </w:r>
      <w:r w:rsidR="0072182E" w:rsidRPr="0072182E">
        <w:rPr>
          <w:rFonts w:ascii="Arial" w:eastAsia="Times New Roman" w:hAnsi="Arial" w:cs="Arial"/>
          <w:b/>
          <w:bCs/>
          <w:color w:val="212529"/>
          <w:sz w:val="20"/>
          <w:szCs w:val="20"/>
          <w:bdr w:val="none" w:sz="0" w:space="0" w:color="auto" w:frame="1"/>
          <w:shd w:val="clear" w:color="auto" w:fill="96CEFE"/>
        </w:rPr>
        <w:t>common-law rights</w:t>
      </w:r>
      <w:r w:rsidR="00B7442A">
        <w:rPr>
          <w:rFonts w:ascii="Arial" w:eastAsia="Times New Roman" w:hAnsi="Arial" w:cs="Arial"/>
          <w:b/>
          <w:bCs/>
          <w:color w:val="212529"/>
          <w:sz w:val="20"/>
          <w:szCs w:val="20"/>
          <w:bdr w:val="none" w:sz="0" w:space="0" w:color="auto" w:frame="1"/>
          <w:shd w:val="clear" w:color="auto" w:fill="96CEFE"/>
        </w:rPr>
        <w:t xml:space="preserve"> </w:t>
      </w:r>
      <w:r w:rsidR="0072182E" w:rsidRPr="0072182E">
        <w:rPr>
          <w:rFonts w:ascii="Arial" w:eastAsia="Times New Roman" w:hAnsi="Arial" w:cs="Arial"/>
          <w:b/>
          <w:bCs/>
          <w:color w:val="212529"/>
          <w:sz w:val="20"/>
          <w:szCs w:val="20"/>
        </w:rPr>
        <w:t>respecting person, property, and reputation, as those </w:t>
      </w:r>
      <w:r w:rsidR="0072182E" w:rsidRPr="0072182E">
        <w:rPr>
          <w:rFonts w:ascii="Arial" w:eastAsia="Times New Roman" w:hAnsi="Arial" w:cs="Arial"/>
          <w:b/>
          <w:bCs/>
          <w:color w:val="212529"/>
          <w:sz w:val="20"/>
          <w:szCs w:val="20"/>
          <w:bdr w:val="none" w:sz="0" w:space="0" w:color="auto" w:frame="1"/>
          <w:shd w:val="clear" w:color="auto" w:fill="96CEFE"/>
        </w:rPr>
        <w:t>rights</w:t>
      </w:r>
      <w:r w:rsidR="0072182E" w:rsidRPr="0072182E">
        <w:rPr>
          <w:rFonts w:ascii="Arial" w:eastAsia="Times New Roman" w:hAnsi="Arial" w:cs="Arial"/>
          <w:b/>
          <w:bCs/>
          <w:color w:val="212529"/>
          <w:sz w:val="20"/>
          <w:szCs w:val="20"/>
        </w:rPr>
        <w:t> existed in 1857</w:t>
      </w:r>
      <w:r w:rsidR="0072182E">
        <w:rPr>
          <w:rFonts w:ascii="Arial" w:eastAsia="Times New Roman" w:hAnsi="Arial" w:cs="Arial"/>
          <w:b/>
          <w:bCs/>
          <w:color w:val="212529"/>
          <w:sz w:val="20"/>
          <w:szCs w:val="20"/>
        </w:rPr>
        <w:t>.</w:t>
      </w:r>
      <w:r w:rsidR="0072182E">
        <w:rPr>
          <w:rFonts w:ascii="Times New Roman" w:eastAsia="Times New Roman" w:hAnsi="Times New Roman" w:cs="Times New Roman"/>
          <w:color w:val="212529"/>
          <w:sz w:val="24"/>
          <w:szCs w:val="24"/>
        </w:rPr>
        <w:t xml:space="preserve"> </w:t>
      </w:r>
      <w:r w:rsidR="0072182E" w:rsidRPr="0072182E">
        <w:rPr>
          <w:rFonts w:ascii="Times New Roman" w:eastAsia="Times New Roman" w:hAnsi="Times New Roman" w:cs="Times New Roman"/>
          <w:sz w:val="24"/>
          <w:szCs w:val="24"/>
        </w:rPr>
        <w:t>The </w:t>
      </w:r>
      <w:r w:rsidR="0072182E" w:rsidRPr="0072182E">
        <w:rPr>
          <w:rFonts w:ascii="Times New Roman" w:eastAsia="Times New Roman" w:hAnsi="Times New Roman" w:cs="Times New Roman"/>
          <w:sz w:val="24"/>
          <w:szCs w:val="24"/>
          <w:bdr w:val="none" w:sz="0" w:space="0" w:color="auto" w:frame="1"/>
          <w:shd w:val="clear" w:color="auto" w:fill="96CEFE"/>
        </w:rPr>
        <w:t>common law</w:t>
      </w:r>
      <w:r w:rsidR="0072182E" w:rsidRPr="0072182E">
        <w:rPr>
          <w:rFonts w:ascii="Times New Roman" w:eastAsia="Times New Roman" w:hAnsi="Times New Roman" w:cs="Times New Roman"/>
          <w:sz w:val="24"/>
          <w:szCs w:val="24"/>
        </w:rPr>
        <w:t> also had a significant impact on federal </w:t>
      </w:r>
      <w:r w:rsidR="0072182E" w:rsidRPr="0072182E">
        <w:rPr>
          <w:rFonts w:ascii="Times New Roman" w:eastAsia="Times New Roman" w:hAnsi="Times New Roman" w:cs="Times New Roman"/>
          <w:sz w:val="24"/>
          <w:szCs w:val="24"/>
          <w:bdr w:val="none" w:sz="0" w:space="0" w:color="auto" w:frame="1"/>
          <w:shd w:val="clear" w:color="auto" w:fill="96CEFE"/>
        </w:rPr>
        <w:t>law</w:t>
      </w:r>
      <w:r w:rsidR="0072182E" w:rsidRPr="0072182E">
        <w:rPr>
          <w:rFonts w:ascii="Times New Roman" w:eastAsia="Times New Roman" w:hAnsi="Times New Roman" w:cs="Times New Roman"/>
          <w:sz w:val="24"/>
          <w:szCs w:val="24"/>
        </w:rPr>
        <w:t>. For example, the</w:t>
      </w:r>
      <w:r w:rsidR="0072182E">
        <w:rPr>
          <w:rFonts w:ascii="Times New Roman" w:eastAsia="Times New Roman" w:hAnsi="Times New Roman" w:cs="Times New Roman"/>
          <w:sz w:val="24"/>
          <w:szCs w:val="24"/>
        </w:rPr>
        <w:t xml:space="preserve"> EXTANT</w:t>
      </w:r>
      <w:r w:rsidR="0072182E" w:rsidRPr="0072182E">
        <w:rPr>
          <w:rFonts w:ascii="Times New Roman" w:eastAsia="Times New Roman" w:hAnsi="Times New Roman" w:cs="Times New Roman"/>
          <w:sz w:val="24"/>
          <w:szCs w:val="24"/>
        </w:rPr>
        <w:t xml:space="preserve"> Northwest Ordinance of 1787, the first federal document to contain a </w:t>
      </w:r>
      <w:r w:rsidR="0072182E" w:rsidRPr="0072182E">
        <w:rPr>
          <w:rFonts w:ascii="Times New Roman" w:eastAsia="Times New Roman" w:hAnsi="Times New Roman" w:cs="Times New Roman"/>
          <w:sz w:val="24"/>
          <w:szCs w:val="24"/>
          <w:bdr w:val="none" w:sz="0" w:space="0" w:color="auto" w:frame="1"/>
          <w:shd w:val="clear" w:color="auto" w:fill="96CEFE"/>
        </w:rPr>
        <w:t>bill of rights</w:t>
      </w:r>
      <w:r w:rsidR="0072182E" w:rsidRPr="0072182E">
        <w:rPr>
          <w:rFonts w:ascii="Times New Roman" w:eastAsia="Times New Roman" w:hAnsi="Times New Roman" w:cs="Times New Roman"/>
          <w:sz w:val="24"/>
          <w:szCs w:val="24"/>
        </w:rPr>
        <w:t xml:space="preserve">, contained six articles that Congress stated would extend and "fix forever" in the Northwest Territory fundamental principles of civil liberty. Henry Steele Commager, Documents of American History, 130 (8th ed. 1968). </w:t>
      </w:r>
      <w:r w:rsidR="0072182E">
        <w:rPr>
          <w:rFonts w:ascii="Times New Roman" w:eastAsia="Times New Roman" w:hAnsi="Times New Roman" w:cs="Times New Roman"/>
          <w:sz w:val="24"/>
          <w:szCs w:val="24"/>
        </w:rPr>
        <w:t>It is to be noted that the “Northwest Ordinance”, was not established by Congress but by the will of the people, and has not been abolished, repealed, or supplanted.</w:t>
      </w:r>
    </w:p>
    <w:p w14:paraId="7AE7D904" w14:textId="77777777" w:rsidR="0072182E" w:rsidRPr="0072182E" w:rsidRDefault="0072182E" w:rsidP="0072182E">
      <w:pPr>
        <w:spacing w:after="100" w:afterAutospacing="1" w:line="240" w:lineRule="auto"/>
        <w:rPr>
          <w:rFonts w:ascii="Times New Roman" w:eastAsia="Times New Roman" w:hAnsi="Times New Roman" w:cs="Times New Roman"/>
          <w:color w:val="212529"/>
          <w:sz w:val="24"/>
          <w:szCs w:val="24"/>
        </w:rPr>
      </w:pPr>
      <w:r w:rsidRPr="0072182E">
        <w:rPr>
          <w:rFonts w:ascii="Times New Roman" w:eastAsia="Times New Roman" w:hAnsi="Times New Roman" w:cs="Times New Roman"/>
          <w:sz w:val="24"/>
          <w:szCs w:val="24"/>
        </w:rPr>
        <w:t xml:space="preserve">One of the guarantees was that "[t]he inhabitants of the said territory shall always be entitled to * * * </w:t>
      </w:r>
      <w:r w:rsidRPr="0072182E">
        <w:rPr>
          <w:rFonts w:ascii="Times New Roman" w:eastAsia="Times New Roman" w:hAnsi="Times New Roman" w:cs="Times New Roman"/>
          <w:b/>
          <w:bCs/>
          <w:sz w:val="24"/>
          <w:szCs w:val="24"/>
        </w:rPr>
        <w:t>judicial proceedings according to the course of the </w:t>
      </w:r>
      <w:r w:rsidRPr="0072182E">
        <w:rPr>
          <w:rFonts w:ascii="Times New Roman" w:eastAsia="Times New Roman" w:hAnsi="Times New Roman" w:cs="Times New Roman"/>
          <w:b/>
          <w:bCs/>
          <w:sz w:val="24"/>
          <w:szCs w:val="24"/>
          <w:bdr w:val="none" w:sz="0" w:space="0" w:color="auto" w:frame="1"/>
          <w:shd w:val="clear" w:color="auto" w:fill="96CEFE"/>
        </w:rPr>
        <w:t>common law</w:t>
      </w:r>
      <w:r w:rsidRPr="0072182E">
        <w:rPr>
          <w:rFonts w:ascii="Times New Roman" w:eastAsia="Times New Roman" w:hAnsi="Times New Roman" w:cs="Times New Roman"/>
          <w:sz w:val="24"/>
          <w:szCs w:val="24"/>
        </w:rPr>
        <w:t xml:space="preserve">." Id. Another was that "[n]o man shall be deprived of his liberty or property, but by the judgment of his peers or </w:t>
      </w:r>
      <w:r w:rsidRPr="0072182E">
        <w:rPr>
          <w:rFonts w:ascii="Times New Roman" w:eastAsia="Times New Roman" w:hAnsi="Times New Roman" w:cs="Times New Roman"/>
          <w:b/>
          <w:bCs/>
          <w:sz w:val="24"/>
          <w:szCs w:val="24"/>
        </w:rPr>
        <w:t>the </w:t>
      </w:r>
      <w:r w:rsidRPr="0072182E">
        <w:rPr>
          <w:rFonts w:ascii="Times New Roman" w:eastAsia="Times New Roman" w:hAnsi="Times New Roman" w:cs="Times New Roman"/>
          <w:b/>
          <w:bCs/>
          <w:sz w:val="24"/>
          <w:szCs w:val="24"/>
          <w:bdr w:val="none" w:sz="0" w:space="0" w:color="auto" w:frame="1"/>
          <w:shd w:val="clear" w:color="auto" w:fill="96CEFE"/>
        </w:rPr>
        <w:t>law</w:t>
      </w:r>
      <w:r w:rsidRPr="0072182E">
        <w:rPr>
          <w:rFonts w:ascii="Times New Roman" w:eastAsia="Times New Roman" w:hAnsi="Times New Roman" w:cs="Times New Roman"/>
          <w:b/>
          <w:bCs/>
          <w:sz w:val="24"/>
          <w:szCs w:val="24"/>
        </w:rPr>
        <w:t> of the land</w:t>
      </w:r>
      <w:r w:rsidRPr="0072182E">
        <w:rPr>
          <w:rFonts w:ascii="Times New Roman" w:eastAsia="Times New Roman" w:hAnsi="Times New Roman" w:cs="Times New Roman"/>
          <w:sz w:val="24"/>
          <w:szCs w:val="24"/>
        </w:rPr>
        <w:t xml:space="preserve">." Id. at 130-31. Both guarantees were </w:t>
      </w:r>
      <w:r w:rsidRPr="0072182E">
        <w:rPr>
          <w:rFonts w:ascii="Times New Roman" w:eastAsia="Times New Roman" w:hAnsi="Times New Roman" w:cs="Times New Roman"/>
          <w:b/>
          <w:bCs/>
          <w:sz w:val="24"/>
          <w:szCs w:val="24"/>
        </w:rPr>
        <w:t>intended to "bridle the new national government."</w:t>
      </w:r>
      <w:r w:rsidRPr="0072182E">
        <w:rPr>
          <w:rFonts w:ascii="Times New Roman" w:eastAsia="Times New Roman" w:hAnsi="Times New Roman" w:cs="Times New Roman"/>
          <w:sz w:val="24"/>
          <w:szCs w:val="24"/>
        </w:rPr>
        <w:t xml:space="preserve"> Leonard W. Levy, Original Intent and the Framers' Constitution, 146 (1988</w:t>
      </w:r>
      <w:r>
        <w:rPr>
          <w:rFonts w:ascii="Times New Roman" w:eastAsia="Times New Roman" w:hAnsi="Times New Roman" w:cs="Times New Roman"/>
          <w:sz w:val="24"/>
          <w:szCs w:val="24"/>
        </w:rPr>
        <w:t>)</w:t>
      </w:r>
      <w:r w:rsidRPr="0072182E">
        <w:rPr>
          <w:rFonts w:ascii="Times New Roman" w:eastAsia="Times New Roman" w:hAnsi="Times New Roman" w:cs="Times New Roman"/>
          <w:sz w:val="24"/>
          <w:szCs w:val="24"/>
        </w:rPr>
        <w:t>.</w:t>
      </w:r>
    </w:p>
    <w:p w14:paraId="2B7D6DFC" w14:textId="77777777" w:rsidR="00386429" w:rsidRPr="00386429" w:rsidRDefault="0072182E" w:rsidP="005F19D5">
      <w:pPr>
        <w:spacing w:after="100" w:afterAutospacing="1"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aforementioned only highlights</w:t>
      </w:r>
      <w:r w:rsidR="00386429">
        <w:rPr>
          <w:rFonts w:ascii="Times New Roman" w:eastAsia="Times New Roman" w:hAnsi="Times New Roman" w:cs="Times New Roman"/>
          <w:color w:val="212529"/>
          <w:sz w:val="24"/>
          <w:szCs w:val="24"/>
        </w:rPr>
        <w:t xml:space="preserve"> the nature that this cannot be a judicial proceeding, as no public official, public trustee has the authority over a beneficiary!</w:t>
      </w:r>
      <w:r w:rsidR="00386429" w:rsidRPr="00386429">
        <w:rPr>
          <w:rFonts w:ascii="Arial" w:hAnsi="Arial" w:cs="Arial"/>
          <w:color w:val="212529"/>
          <w:sz w:val="20"/>
          <w:szCs w:val="20"/>
          <w:shd w:val="clear" w:color="auto" w:fill="FFFFFF"/>
        </w:rPr>
        <w:t> [</w:t>
      </w:r>
      <w:r w:rsidR="00386429">
        <w:rPr>
          <w:rFonts w:ascii="Arial" w:hAnsi="Arial" w:cs="Arial"/>
          <w:color w:val="212529"/>
          <w:sz w:val="20"/>
          <w:szCs w:val="20"/>
          <w:shd w:val="clear" w:color="auto" w:fill="FFFFFF"/>
        </w:rPr>
        <w:t>T</w:t>
      </w:r>
      <w:r w:rsidR="00386429" w:rsidRPr="00386429">
        <w:rPr>
          <w:rFonts w:ascii="Arial" w:hAnsi="Arial" w:cs="Arial"/>
          <w:color w:val="212529"/>
          <w:sz w:val="20"/>
          <w:szCs w:val="20"/>
          <w:shd w:val="clear" w:color="auto" w:fill="FFFFFF"/>
        </w:rPr>
        <w:t>]he trustee agrees to deal with the res of the trust only upon written direction of the beneficiaries." In re Marriage of Gross, 756 N.E.2d 312, 315 (Ill. App. Ct. 2001). </w:t>
      </w:r>
      <w:r w:rsidR="00386429" w:rsidRPr="00386429">
        <w:rPr>
          <w:rStyle w:val="Emphasis"/>
          <w:rFonts w:ascii="Arial" w:hAnsi="Arial" w:cs="Arial"/>
          <w:i w:val="0"/>
          <w:iCs w:val="0"/>
          <w:color w:val="212529"/>
          <w:sz w:val="20"/>
          <w:szCs w:val="20"/>
          <w:bdr w:val="none" w:sz="0" w:space="0" w:color="auto" w:frame="1"/>
          <w:shd w:val="clear" w:color="auto" w:fill="96CEFE"/>
        </w:rPr>
        <w:t>In other words, the trustee "is a mere vessel of title" that "exercises no control over the property and only acts according to the beneficiaries' directions."</w:t>
      </w:r>
      <w:r w:rsidR="00386429" w:rsidRPr="00386429">
        <w:rPr>
          <w:rFonts w:ascii="Arial" w:hAnsi="Arial" w:cs="Arial"/>
          <w:color w:val="212529"/>
          <w:sz w:val="20"/>
          <w:szCs w:val="20"/>
          <w:shd w:val="clear" w:color="auto" w:fill="FFFFFF"/>
        </w:rPr>
        <w:t> Id. The trust agreement itself determines the "relationship between the trustee, the beneficiaries, and the holder of the power of direction." In re Estate of Bork, 496 N.E.2d 329, 333 (Ill. App. Ct. 1986).</w:t>
      </w:r>
    </w:p>
    <w:p w14:paraId="05F11605" w14:textId="77777777" w:rsidR="00700706" w:rsidRPr="0095343F" w:rsidRDefault="0095343F" w:rsidP="0095343F">
      <w:pPr>
        <w:spacing w:after="100" w:afterAutospacing="1" w:line="240" w:lineRule="auto"/>
        <w:ind w:left="960"/>
        <w:rPr>
          <w:rStyle w:val="Emphasis"/>
          <w:rFonts w:ascii="Times New Roman" w:eastAsia="Times New Roman" w:hAnsi="Times New Roman" w:cs="Times New Roman"/>
          <w:i w:val="0"/>
          <w:iCs w:val="0"/>
          <w:color w:val="212529"/>
          <w:sz w:val="24"/>
          <w:szCs w:val="24"/>
        </w:rPr>
      </w:pPr>
      <w:r w:rsidRPr="0095343F">
        <w:rPr>
          <w:rFonts w:ascii="Times New Roman" w:eastAsia="Times New Roman" w:hAnsi="Times New Roman" w:cs="Times New Roman"/>
          <w:color w:val="212529"/>
          <w:sz w:val="24"/>
          <w:szCs w:val="24"/>
        </w:rPr>
        <w:t>Early Ohio cases held that county treasurers were insurers of public funds, based upon statutory language which was construed to impose such a standard contractually. </w:t>
      </w:r>
      <w:r w:rsidRPr="0095343F">
        <w:rPr>
          <w:rFonts w:ascii="Times New Roman" w:eastAsia="Times New Roman" w:hAnsi="Times New Roman" w:cs="Times New Roman"/>
          <w:i/>
          <w:iCs/>
          <w:color w:val="212529"/>
          <w:sz w:val="24"/>
          <w:szCs w:val="24"/>
        </w:rPr>
        <w:t>State, ex rel. Wyandot County</w:t>
      </w:r>
      <w:r w:rsidRPr="0095343F">
        <w:rPr>
          <w:rFonts w:ascii="Times New Roman" w:eastAsia="Times New Roman" w:hAnsi="Times New Roman" w:cs="Times New Roman"/>
          <w:color w:val="212529"/>
          <w:sz w:val="24"/>
          <w:szCs w:val="24"/>
        </w:rPr>
        <w:t>, v. </w:t>
      </w:r>
      <w:r w:rsidRPr="0095343F">
        <w:rPr>
          <w:rFonts w:ascii="Times New Roman" w:eastAsia="Times New Roman" w:hAnsi="Times New Roman" w:cs="Times New Roman"/>
          <w:i/>
          <w:iCs/>
          <w:color w:val="212529"/>
          <w:sz w:val="24"/>
          <w:szCs w:val="24"/>
        </w:rPr>
        <w:t>Harper</w:t>
      </w:r>
      <w:r w:rsidRPr="0095343F">
        <w:rPr>
          <w:rFonts w:ascii="Times New Roman" w:eastAsia="Times New Roman" w:hAnsi="Times New Roman" w:cs="Times New Roman"/>
          <w:color w:val="212529"/>
          <w:sz w:val="24"/>
          <w:szCs w:val="24"/>
        </w:rPr>
        <w:t> (1856), 6 Ohio St. 607; </w:t>
      </w:r>
      <w:r w:rsidRPr="0095343F">
        <w:rPr>
          <w:rFonts w:ascii="Times New Roman" w:eastAsia="Times New Roman" w:hAnsi="Times New Roman" w:cs="Times New Roman"/>
          <w:i/>
          <w:iCs/>
          <w:color w:val="212529"/>
          <w:sz w:val="24"/>
          <w:szCs w:val="24"/>
        </w:rPr>
        <w:t>Bd. of Edn.</w:t>
      </w:r>
      <w:r w:rsidRPr="0095343F">
        <w:rPr>
          <w:rFonts w:ascii="Times New Roman" w:eastAsia="Times New Roman" w:hAnsi="Times New Roman" w:cs="Times New Roman"/>
          <w:color w:val="212529"/>
          <w:sz w:val="24"/>
          <w:szCs w:val="24"/>
        </w:rPr>
        <w:t> v. </w:t>
      </w:r>
      <w:r w:rsidRPr="0095343F">
        <w:rPr>
          <w:rFonts w:ascii="Times New Roman" w:eastAsia="Times New Roman" w:hAnsi="Times New Roman" w:cs="Times New Roman"/>
          <w:i/>
          <w:iCs/>
          <w:color w:val="212529"/>
          <w:sz w:val="24"/>
          <w:szCs w:val="24"/>
        </w:rPr>
        <w:t>McLandsborough</w:t>
      </w:r>
      <w:r w:rsidRPr="0095343F">
        <w:rPr>
          <w:rFonts w:ascii="Times New Roman" w:eastAsia="Times New Roman" w:hAnsi="Times New Roman" w:cs="Times New Roman"/>
          <w:color w:val="212529"/>
          <w:sz w:val="24"/>
          <w:szCs w:val="24"/>
        </w:rPr>
        <w:t xml:space="preserve"> (1880), 36 Ohio St. 227. The court has also held that a </w:t>
      </w:r>
      <w:r w:rsidRPr="0095343F">
        <w:rPr>
          <w:rFonts w:ascii="Times New Roman" w:eastAsia="Times New Roman" w:hAnsi="Times New Roman" w:cs="Times New Roman"/>
          <w:color w:val="212529"/>
          <w:sz w:val="24"/>
          <w:szCs w:val="24"/>
        </w:rPr>
        <w:lastRenderedPageBreak/>
        <w:t>postmaster is strictly liable for the loss of public funds which he was to hold and turn over to the federal government. </w:t>
      </w:r>
      <w:r w:rsidRPr="0095343F">
        <w:rPr>
          <w:rFonts w:ascii="Times New Roman" w:eastAsia="Times New Roman" w:hAnsi="Times New Roman" w:cs="Times New Roman"/>
          <w:i/>
          <w:iCs/>
          <w:color w:val="212529"/>
          <w:sz w:val="24"/>
          <w:szCs w:val="24"/>
        </w:rPr>
        <w:t>Seward</w:t>
      </w:r>
      <w:r w:rsidRPr="0095343F">
        <w:rPr>
          <w:rFonts w:ascii="Times New Roman" w:eastAsia="Times New Roman" w:hAnsi="Times New Roman" w:cs="Times New Roman"/>
          <w:color w:val="212529"/>
          <w:sz w:val="24"/>
          <w:szCs w:val="24"/>
        </w:rPr>
        <w:t> v. </w:t>
      </w:r>
      <w:r w:rsidRPr="0095343F">
        <w:rPr>
          <w:rFonts w:ascii="Times New Roman" w:eastAsia="Times New Roman" w:hAnsi="Times New Roman" w:cs="Times New Roman"/>
          <w:i/>
          <w:iCs/>
          <w:color w:val="212529"/>
          <w:sz w:val="24"/>
          <w:szCs w:val="24"/>
        </w:rPr>
        <w:t>National Surety Co.</w:t>
      </w:r>
      <w:r w:rsidRPr="0095343F">
        <w:rPr>
          <w:rFonts w:ascii="Times New Roman" w:eastAsia="Times New Roman" w:hAnsi="Times New Roman" w:cs="Times New Roman"/>
          <w:color w:val="212529"/>
          <w:sz w:val="24"/>
          <w:szCs w:val="24"/>
        </w:rPr>
        <w:t> (1929), </w:t>
      </w:r>
      <w:hyperlink r:id="rId7" w:history="1">
        <w:r w:rsidRPr="0095343F">
          <w:rPr>
            <w:rFonts w:ascii="Times New Roman" w:eastAsia="Times New Roman" w:hAnsi="Times New Roman" w:cs="Times New Roman"/>
            <w:color w:val="005AAA"/>
            <w:sz w:val="24"/>
            <w:szCs w:val="24"/>
            <w:u w:val="single"/>
          </w:rPr>
          <w:t>120 Ohio St. 47</w:t>
        </w:r>
      </w:hyperlink>
      <w:r w:rsidRPr="0095343F">
        <w:rPr>
          <w:rFonts w:ascii="Times New Roman" w:eastAsia="Times New Roman" w:hAnsi="Times New Roman" w:cs="Times New Roman"/>
          <w:color w:val="212529"/>
          <w:sz w:val="24"/>
          <w:szCs w:val="24"/>
        </w:rPr>
        <w:t>, </w:t>
      </w:r>
      <w:hyperlink r:id="rId8" w:history="1">
        <w:r w:rsidRPr="0095343F">
          <w:rPr>
            <w:rFonts w:ascii="Times New Roman" w:eastAsia="Times New Roman" w:hAnsi="Times New Roman" w:cs="Times New Roman"/>
            <w:color w:val="005AAA"/>
            <w:sz w:val="24"/>
            <w:szCs w:val="24"/>
            <w:u w:val="single"/>
          </w:rPr>
          <w:t>165 N.E. 537</w:t>
        </w:r>
      </w:hyperlink>
      <w:r w:rsidRPr="0095343F">
        <w:rPr>
          <w:rFonts w:ascii="Times New Roman" w:eastAsia="Times New Roman" w:hAnsi="Times New Roman" w:cs="Times New Roman"/>
          <w:color w:val="212529"/>
          <w:sz w:val="24"/>
          <w:szCs w:val="24"/>
        </w:rPr>
        <w:t>.</w:t>
      </w:r>
    </w:p>
    <w:p w14:paraId="0CE67D82" w14:textId="77777777" w:rsidR="0066679E" w:rsidRDefault="00700706" w:rsidP="0066679E">
      <w:pPr>
        <w:pStyle w:val="paragraph"/>
        <w:spacing w:before="0" w:beforeAutospacing="0"/>
        <w:rPr>
          <w:color w:val="212529"/>
        </w:rPr>
      </w:pPr>
      <w:r>
        <w:rPr>
          <w:rStyle w:val="Emphasis"/>
          <w:rFonts w:ascii="Arial" w:hAnsi="Arial" w:cs="Arial"/>
          <w:i w:val="0"/>
          <w:iCs w:val="0"/>
          <w:color w:val="212529"/>
          <w:sz w:val="30"/>
          <w:szCs w:val="30"/>
          <w:bdr w:val="none" w:sz="0" w:space="0" w:color="auto" w:frame="1"/>
          <w:shd w:val="clear" w:color="auto" w:fill="96CEFE"/>
        </w:rPr>
        <w:t> "[t]t is pretty well settled under the American system of government that a public office is a public trust, and that public property and public money in the hands of or under the control of such officer or officers constitute a trust fund, for which the official as trustee should be held responsible to the same degree as the trustee of a private trust fund."</w:t>
      </w:r>
      <w:r>
        <w:rPr>
          <w:rFonts w:ascii="Arial" w:hAnsi="Arial" w:cs="Arial"/>
          <w:color w:val="212529"/>
          <w:sz w:val="30"/>
          <w:szCs w:val="30"/>
          <w:shd w:val="clear" w:color="auto" w:fill="FFFFFF"/>
        </w:rPr>
        <w:t> </w:t>
      </w:r>
      <w:r w:rsidR="0095343F" w:rsidRPr="0095343F">
        <w:rPr>
          <w:rFonts w:ascii="Arial" w:hAnsi="Arial" w:cs="Arial"/>
          <w:color w:val="212529"/>
          <w:sz w:val="30"/>
          <w:szCs w:val="30"/>
          <w:shd w:val="clear" w:color="auto" w:fill="FFFFFF"/>
        </w:rPr>
        <w:t>Crane Township, ex rel. Stalter, v. Secoy (1921), 103 Ohio St. 258, 259, 132 N.E. 851. See, also, State, ex rel. Smith, v. Maharry (1918), 97 Ohio St. 272, 119 N.E. 822.</w:t>
      </w:r>
    </w:p>
    <w:p w14:paraId="0169A6D8" w14:textId="77777777" w:rsidR="00700706" w:rsidRDefault="00700706" w:rsidP="0066679E">
      <w:pPr>
        <w:pStyle w:val="paragraph"/>
        <w:spacing w:before="0" w:beforeAutospacing="0"/>
        <w:rPr>
          <w:rFonts w:ascii="Arial Rounded MT Bold" w:hAnsi="Arial Rounded MT Bold"/>
          <w:b/>
          <w:bCs/>
          <w:color w:val="212529"/>
        </w:rPr>
      </w:pPr>
    </w:p>
    <w:p w14:paraId="4D324BF0" w14:textId="77777777" w:rsidR="0066679E" w:rsidRDefault="0066679E" w:rsidP="0066679E">
      <w:pPr>
        <w:pStyle w:val="paragraph"/>
        <w:spacing w:before="0" w:beforeAutospacing="0"/>
        <w:rPr>
          <w:color w:val="212529"/>
        </w:rPr>
      </w:pPr>
      <w:r w:rsidRPr="0066679E">
        <w:rPr>
          <w:rFonts w:ascii="Arial Rounded MT Bold" w:hAnsi="Arial Rounded MT Bold"/>
          <w:b/>
          <w:bCs/>
          <w:color w:val="212529"/>
        </w:rPr>
        <w:t>The administration of government ought to be directed for the good of those who confer and not of those who receive the trust</w:t>
      </w:r>
      <w:r>
        <w:rPr>
          <w:color w:val="212529"/>
        </w:rPr>
        <w:t xml:space="preserve">. </w:t>
      </w:r>
      <w:r w:rsidRPr="0066679E">
        <w:rPr>
          <w:b/>
          <w:bCs/>
          <w:color w:val="212529"/>
        </w:rPr>
        <w:t>The officers of government are trustees and both the trust and trustees are created for the benefit of the people</w:t>
      </w:r>
      <w:r>
        <w:rPr>
          <w:color w:val="212529"/>
        </w:rPr>
        <w:t>.</w:t>
      </w:r>
    </w:p>
    <w:p w14:paraId="1D981B1F" w14:textId="77777777" w:rsidR="0066679E" w:rsidRDefault="0066679E" w:rsidP="0066679E">
      <w:pPr>
        <w:pStyle w:val="paragraph"/>
        <w:spacing w:before="0" w:beforeAutospacing="0"/>
        <w:rPr>
          <w:color w:val="212529"/>
        </w:rPr>
      </w:pPr>
      <w:r>
        <w:rPr>
          <w:color w:val="212529"/>
        </w:rPr>
        <w:t>"</w:t>
      </w:r>
      <w:r w:rsidRPr="0066679E">
        <w:rPr>
          <w:b/>
          <w:bCs/>
          <w:color w:val="212529"/>
        </w:rPr>
        <w:t>It is an inexorable rule of common law, and it finds expression in our statute, that public servants shall not be interested, directly or indirectly, in any contract made with public agencies of which they are members. Public service demands an exclusive fidelity</w:t>
      </w:r>
      <w:r>
        <w:rPr>
          <w:color w:val="212529"/>
        </w:rPr>
        <w:t xml:space="preserve">. </w:t>
      </w:r>
      <w:r w:rsidRPr="0066679E">
        <w:rPr>
          <w:b/>
          <w:bCs/>
          <w:color w:val="212529"/>
        </w:rPr>
        <w:t>The law tolerates no mingling of self-interest</w:t>
      </w:r>
      <w:r>
        <w:rPr>
          <w:color w:val="212529"/>
        </w:rPr>
        <w:t>." </w:t>
      </w:r>
      <w:r>
        <w:rPr>
          <w:i/>
          <w:iCs/>
          <w:color w:val="212529"/>
        </w:rPr>
        <w:t>Ames</w:t>
      </w:r>
      <w:r>
        <w:rPr>
          <w:color w:val="212529"/>
        </w:rPr>
        <w:t> v. </w:t>
      </w:r>
      <w:r>
        <w:rPr>
          <w:i/>
          <w:iCs/>
          <w:color w:val="212529"/>
        </w:rPr>
        <w:t>Board of Education of Montclair et</w:t>
      </w:r>
      <w:r>
        <w:rPr>
          <w:color w:val="212529"/>
        </w:rPr>
        <w:t> </w:t>
      </w:r>
      <w:r>
        <w:rPr>
          <w:i/>
          <w:iCs/>
          <w:color w:val="212529"/>
        </w:rPr>
        <w:t>al., </w:t>
      </w:r>
      <w:hyperlink r:id="rId9" w:history="1">
        <w:r>
          <w:rPr>
            <w:rStyle w:val="Hyperlink"/>
            <w:i/>
            <w:iCs/>
            <w:color w:val="005AAA"/>
          </w:rPr>
          <w:t>97 N.J. Eq. 60</w:t>
        </w:r>
      </w:hyperlink>
      <w:r>
        <w:rPr>
          <w:i/>
          <w:iCs/>
          <w:color w:val="212529"/>
        </w:rPr>
        <w:t> </w:t>
      </w:r>
      <w:r>
        <w:rPr>
          <w:color w:val="212529"/>
        </w:rPr>
        <w:t>, Backes, V.C.</w:t>
      </w:r>
    </w:p>
    <w:p w14:paraId="6F552689" w14:textId="77777777" w:rsidR="0066679E" w:rsidRDefault="0066679E" w:rsidP="0066679E">
      <w:pPr>
        <w:pStyle w:val="paragraph"/>
        <w:spacing w:before="0" w:beforeAutospacing="0"/>
        <w:rPr>
          <w:color w:val="212529"/>
        </w:rPr>
      </w:pPr>
      <w:r>
        <w:rPr>
          <w:color w:val="212529"/>
        </w:rPr>
        <w:t>And Mr. Justice Trenchard in setting aside a resolution…said:</w:t>
      </w:r>
    </w:p>
    <w:p w14:paraId="30B45167" w14:textId="77777777" w:rsidR="0066679E" w:rsidRDefault="0066679E" w:rsidP="0066679E">
      <w:pPr>
        <w:pStyle w:val="paragraph"/>
        <w:spacing w:before="0" w:beforeAutospacing="0"/>
        <w:rPr>
          <w:color w:val="212529"/>
        </w:rPr>
      </w:pPr>
      <w:r>
        <w:rPr>
          <w:color w:val="212529"/>
        </w:rPr>
        <w:t>"… The rule is one of policy which without regard to intention inexorably reaches all contracts which contravene the purpose of the law." </w:t>
      </w:r>
      <w:r>
        <w:rPr>
          <w:i/>
          <w:iCs/>
          <w:color w:val="212529"/>
        </w:rPr>
        <w:t>Sturr</w:t>
      </w:r>
      <w:r>
        <w:rPr>
          <w:color w:val="212529"/>
        </w:rPr>
        <w:t> v. </w:t>
      </w:r>
      <w:r>
        <w:rPr>
          <w:i/>
          <w:iCs/>
          <w:color w:val="212529"/>
        </w:rPr>
        <w:t>Borough of Elmer, 75 N.J.L. 703</w:t>
      </w:r>
      <w:r>
        <w:rPr>
          <w:color w:val="212529"/>
        </w:rPr>
        <w:t>. See, also, </w:t>
      </w:r>
      <w:r>
        <w:rPr>
          <w:i/>
          <w:iCs/>
          <w:color w:val="212529"/>
        </w:rPr>
        <w:t>R.S.</w:t>
      </w:r>
      <w:r>
        <w:rPr>
          <w:color w:val="212529"/>
        </w:rPr>
        <w:t> 2:160-8; </w:t>
      </w:r>
      <w:r>
        <w:rPr>
          <w:i/>
          <w:iCs/>
          <w:color w:val="212529"/>
        </w:rPr>
        <w:t>R.S.</w:t>
      </w:r>
      <w:r>
        <w:rPr>
          <w:color w:val="212529"/>
        </w:rPr>
        <w:t> 18:12-3. </w:t>
      </w:r>
      <w:r>
        <w:rPr>
          <w:i/>
          <w:iCs/>
          <w:color w:val="212529"/>
        </w:rPr>
        <w:t>Gregory</w:t>
      </w:r>
      <w:r>
        <w:rPr>
          <w:color w:val="212529"/>
        </w:rPr>
        <w:t> v. </w:t>
      </w:r>
      <w:r>
        <w:rPr>
          <w:i/>
          <w:iCs/>
          <w:color w:val="212529"/>
        </w:rPr>
        <w:t>Jersey</w:t>
      </w:r>
      <w:r>
        <w:rPr>
          <w:color w:val="212529"/>
        </w:rPr>
        <w:t> </w:t>
      </w:r>
      <w:r>
        <w:rPr>
          <w:i/>
          <w:iCs/>
          <w:color w:val="212529"/>
        </w:rPr>
        <w:t>City, 34 N.J.L. 390</w:t>
      </w:r>
      <w:r>
        <w:rPr>
          <w:color w:val="212529"/>
        </w:rPr>
        <w:t>; </w:t>
      </w:r>
      <w:r>
        <w:rPr>
          <w:i/>
          <w:iCs/>
          <w:color w:val="212529"/>
        </w:rPr>
        <w:t>Stroud</w:t>
      </w:r>
      <w:r>
        <w:rPr>
          <w:color w:val="212529"/>
        </w:rPr>
        <w:t> v. </w:t>
      </w:r>
      <w:r>
        <w:rPr>
          <w:i/>
          <w:iCs/>
          <w:color w:val="212529"/>
        </w:rPr>
        <w:t>Consumers Water Co., 56</w:t>
      </w:r>
      <w:r>
        <w:rPr>
          <w:color w:val="212529"/>
        </w:rPr>
        <w:t> </w:t>
      </w:r>
      <w:r>
        <w:rPr>
          <w:i/>
          <w:iCs/>
          <w:color w:val="212529"/>
        </w:rPr>
        <w:t>Id. 422</w:t>
      </w:r>
      <w:r>
        <w:rPr>
          <w:color w:val="212529"/>
        </w:rPr>
        <w:t>; </w:t>
      </w:r>
      <w:r>
        <w:rPr>
          <w:i/>
          <w:iCs/>
          <w:color w:val="212529"/>
        </w:rPr>
        <w:t>West Jersey Traction Co.</w:t>
      </w:r>
      <w:r>
        <w:rPr>
          <w:color w:val="212529"/>
        </w:rPr>
        <w:t> v. </w:t>
      </w:r>
      <w:r>
        <w:rPr>
          <w:i/>
          <w:iCs/>
          <w:color w:val="212529"/>
        </w:rPr>
        <w:t>Camden, </w:t>
      </w:r>
      <w:hyperlink r:id="rId10" w:history="1">
        <w:r>
          <w:rPr>
            <w:rStyle w:val="Hyperlink"/>
            <w:i/>
            <w:iCs/>
            <w:color w:val="005AAA"/>
          </w:rPr>
          <w:t>56 Id. 431</w:t>
        </w:r>
      </w:hyperlink>
      <w:r>
        <w:rPr>
          <w:i/>
          <w:iCs/>
          <w:color w:val="212529"/>
        </w:rPr>
        <w:t> </w:t>
      </w:r>
      <w:r>
        <w:rPr>
          <w:color w:val="212529"/>
        </w:rPr>
        <w:t>; </w:t>
      </w:r>
      <w:r>
        <w:rPr>
          <w:i/>
          <w:iCs/>
          <w:color w:val="212529"/>
        </w:rPr>
        <w:t>Foster</w:t>
      </w:r>
      <w:r>
        <w:rPr>
          <w:color w:val="212529"/>
        </w:rPr>
        <w:t> v. </w:t>
      </w:r>
      <w:r>
        <w:rPr>
          <w:i/>
          <w:iCs/>
          <w:color w:val="212529"/>
        </w:rPr>
        <w:t>Cape May, 60 Id. 78</w:t>
      </w:r>
      <w:r>
        <w:rPr>
          <w:color w:val="212529"/>
        </w:rPr>
        <w:t>; </w:t>
      </w:r>
      <w:r>
        <w:rPr>
          <w:i/>
          <w:iCs/>
          <w:color w:val="212529"/>
        </w:rPr>
        <w:t>Drake</w:t>
      </w:r>
      <w:r>
        <w:rPr>
          <w:color w:val="212529"/>
        </w:rPr>
        <w:t> v. </w:t>
      </w:r>
      <w:r>
        <w:rPr>
          <w:i/>
          <w:iCs/>
          <w:color w:val="212529"/>
        </w:rPr>
        <w:t>Elizabeth, 69</w:t>
      </w:r>
      <w:r>
        <w:rPr>
          <w:color w:val="212529"/>
        </w:rPr>
        <w:t> </w:t>
      </w:r>
      <w:r>
        <w:rPr>
          <w:i/>
          <w:iCs/>
          <w:color w:val="212529"/>
        </w:rPr>
        <w:t>Id. 190</w:t>
      </w:r>
      <w:r>
        <w:rPr>
          <w:color w:val="212529"/>
        </w:rPr>
        <w:t>; </w:t>
      </w:r>
      <w:r>
        <w:rPr>
          <w:i/>
          <w:iCs/>
          <w:color w:val="212529"/>
        </w:rPr>
        <w:t>Harrison</w:t>
      </w:r>
      <w:r>
        <w:rPr>
          <w:color w:val="212529"/>
        </w:rPr>
        <w:t> v. </w:t>
      </w:r>
      <w:r>
        <w:rPr>
          <w:i/>
          <w:iCs/>
          <w:color w:val="212529"/>
        </w:rPr>
        <w:t>Elizabeth, 70 Id. 591</w:t>
      </w:r>
      <w:r>
        <w:rPr>
          <w:color w:val="212529"/>
        </w:rPr>
        <w:t>.</w:t>
      </w:r>
    </w:p>
    <w:p w14:paraId="10A3AB2C" w14:textId="77777777" w:rsidR="0066679E" w:rsidRDefault="0066679E" w:rsidP="0066679E">
      <w:pPr>
        <w:pStyle w:val="paragraph"/>
        <w:spacing w:before="0" w:beforeAutospacing="0"/>
        <w:rPr>
          <w:color w:val="212529"/>
        </w:rPr>
      </w:pPr>
      <w:r>
        <w:rPr>
          <w:color w:val="212529"/>
        </w:rPr>
        <w:t>The judgment of the Supreme Court will be affirmed.</w:t>
      </w:r>
    </w:p>
    <w:p w14:paraId="71EA66C9" w14:textId="77777777" w:rsidR="0066679E" w:rsidRPr="00345E49" w:rsidRDefault="0066679E" w:rsidP="0066679E">
      <w:pPr>
        <w:pStyle w:val="paragraph"/>
        <w:spacing w:before="0" w:beforeAutospacing="0"/>
        <w:rPr>
          <w:color w:val="212529"/>
          <w:sz w:val="20"/>
          <w:szCs w:val="20"/>
        </w:rPr>
      </w:pPr>
      <w:r w:rsidRPr="00345E49">
        <w:rPr>
          <w:i/>
          <w:iCs/>
          <w:color w:val="212529"/>
          <w:sz w:val="20"/>
          <w:szCs w:val="20"/>
        </w:rPr>
        <w:t>For affirmance</w:t>
      </w:r>
      <w:r w:rsidRPr="00345E49">
        <w:rPr>
          <w:color w:val="212529"/>
          <w:sz w:val="20"/>
          <w:szCs w:val="20"/>
        </w:rPr>
        <w:t> — THE CHANCELLOR, CHIEF JUSTICE, PARKER, DONGES, HEHER, COLIE, EASTWOOD, WELLS, RAFFERTY, DILL, FREUND, McGEEHAN, McLEAN, JJ. 13.</w:t>
      </w:r>
    </w:p>
    <w:p w14:paraId="487628E0" w14:textId="77777777" w:rsidR="0066679E" w:rsidRPr="00345E49" w:rsidRDefault="0066679E" w:rsidP="0066679E">
      <w:pPr>
        <w:pStyle w:val="paragraph"/>
        <w:spacing w:before="0" w:beforeAutospacing="0"/>
        <w:rPr>
          <w:color w:val="212529"/>
          <w:sz w:val="20"/>
          <w:szCs w:val="20"/>
        </w:rPr>
      </w:pPr>
      <w:r w:rsidRPr="00345E49">
        <w:rPr>
          <w:i/>
          <w:iCs/>
          <w:color w:val="212529"/>
          <w:sz w:val="20"/>
          <w:szCs w:val="20"/>
        </w:rPr>
        <w:t>For reversal</w:t>
      </w:r>
      <w:r w:rsidRPr="00345E49">
        <w:rPr>
          <w:color w:val="212529"/>
          <w:sz w:val="20"/>
          <w:szCs w:val="20"/>
        </w:rPr>
        <w:t> — None.</w:t>
      </w:r>
    </w:p>
    <w:p w14:paraId="780AFCF4" w14:textId="3464ABEB" w:rsidR="0066679E" w:rsidRPr="00345E49" w:rsidRDefault="0066679E" w:rsidP="0066679E">
      <w:pPr>
        <w:pStyle w:val="NormalWeb"/>
        <w:spacing w:before="0" w:beforeAutospacing="0"/>
        <w:rPr>
          <w:color w:val="212529"/>
          <w:sz w:val="20"/>
          <w:szCs w:val="20"/>
        </w:rPr>
      </w:pPr>
      <w:r w:rsidRPr="00345E49">
        <w:rPr>
          <w:i/>
          <w:iCs/>
          <w:color w:val="212529"/>
          <w:sz w:val="20"/>
          <w:szCs w:val="20"/>
        </w:rPr>
        <w:t>Rankin v. Board of Education of Egg Harbor Township</w:t>
      </w:r>
      <w:r w:rsidRPr="00345E49">
        <w:rPr>
          <w:color w:val="212529"/>
          <w:sz w:val="20"/>
          <w:szCs w:val="20"/>
        </w:rPr>
        <w:t>, 135 N.J.L. 299, 303-04 (N.J. 1947)</w:t>
      </w:r>
      <w:r w:rsidR="00345E49">
        <w:rPr>
          <w:color w:val="212529"/>
          <w:sz w:val="20"/>
          <w:szCs w:val="20"/>
        </w:rPr>
        <w:t>.</w:t>
      </w:r>
    </w:p>
    <w:p w14:paraId="589705D7" w14:textId="77777777" w:rsidR="0066679E" w:rsidRDefault="0066679E"/>
    <w:p w14:paraId="34C7E3D8" w14:textId="4EE9C120" w:rsidR="0066679E" w:rsidRPr="00345E49" w:rsidRDefault="0066679E" w:rsidP="0066679E">
      <w:pPr>
        <w:rPr>
          <w:rFonts w:ascii="Times New Roman" w:eastAsia="Times New Roman" w:hAnsi="Times New Roman" w:cs="Times New Roman"/>
          <w:color w:val="212529"/>
          <w:sz w:val="24"/>
          <w:szCs w:val="24"/>
        </w:rPr>
      </w:pPr>
      <w:r>
        <w:rPr>
          <w:rStyle w:val="Emphasis"/>
          <w:rFonts w:ascii="Arial" w:hAnsi="Arial" w:cs="Arial"/>
          <w:i w:val="0"/>
          <w:iCs w:val="0"/>
          <w:color w:val="212529"/>
          <w:sz w:val="30"/>
          <w:szCs w:val="30"/>
          <w:bdr w:val="none" w:sz="0" w:space="0" w:color="auto" w:frame="1"/>
          <w:shd w:val="clear" w:color="auto" w:fill="96CEFE"/>
        </w:rPr>
        <w:lastRenderedPageBreak/>
        <w:t xml:space="preserve">"A public office is </w:t>
      </w:r>
      <w:r w:rsidRPr="00345E49">
        <w:rPr>
          <w:rStyle w:val="Emphasis"/>
          <w:rFonts w:ascii="Arial" w:hAnsi="Arial" w:cs="Arial"/>
          <w:b/>
          <w:bCs/>
          <w:i w:val="0"/>
          <w:iCs w:val="0"/>
          <w:color w:val="212529"/>
          <w:sz w:val="30"/>
          <w:szCs w:val="30"/>
          <w:bdr w:val="none" w:sz="0" w:space="0" w:color="auto" w:frame="1"/>
          <w:shd w:val="clear" w:color="auto" w:fill="96CEFE"/>
        </w:rPr>
        <w:t>a public trust</w:t>
      </w:r>
      <w:r>
        <w:rPr>
          <w:rStyle w:val="Emphasis"/>
          <w:rFonts w:ascii="Arial" w:hAnsi="Arial" w:cs="Arial"/>
          <w:i w:val="0"/>
          <w:iCs w:val="0"/>
          <w:color w:val="212529"/>
          <w:sz w:val="30"/>
          <w:szCs w:val="30"/>
          <w:bdr w:val="none" w:sz="0" w:space="0" w:color="auto" w:frame="1"/>
          <w:shd w:val="clear" w:color="auto" w:fill="96CEFE"/>
        </w:rPr>
        <w:t xml:space="preserve">, and public property and public money in the hands of or under the control of a public officer </w:t>
      </w:r>
      <w:r w:rsidRPr="00345E49">
        <w:rPr>
          <w:rStyle w:val="Emphasis"/>
          <w:rFonts w:ascii="Arial" w:hAnsi="Arial" w:cs="Arial"/>
          <w:b/>
          <w:bCs/>
          <w:i w:val="0"/>
          <w:iCs w:val="0"/>
          <w:color w:val="212529"/>
          <w:sz w:val="30"/>
          <w:szCs w:val="30"/>
          <w:bdr w:val="none" w:sz="0" w:space="0" w:color="auto" w:frame="1"/>
          <w:shd w:val="clear" w:color="auto" w:fill="96CEFE"/>
        </w:rPr>
        <w:t>constitutes a trust fund</w:t>
      </w:r>
      <w:r>
        <w:rPr>
          <w:rStyle w:val="Emphasis"/>
          <w:rFonts w:ascii="Arial" w:hAnsi="Arial" w:cs="Arial"/>
          <w:i w:val="0"/>
          <w:iCs w:val="0"/>
          <w:color w:val="212529"/>
          <w:sz w:val="30"/>
          <w:szCs w:val="30"/>
          <w:bdr w:val="none" w:sz="0" w:space="0" w:color="auto" w:frame="1"/>
          <w:shd w:val="clear" w:color="auto" w:fill="96CEFE"/>
        </w:rPr>
        <w:t xml:space="preserve"> for which the official as trustee is responsible to the same degree as the trustee of a private trust fund."</w:t>
      </w:r>
      <w:r w:rsidRPr="0066679E">
        <w:rPr>
          <w:i/>
          <w:iCs/>
          <w:color w:val="212529"/>
        </w:rPr>
        <w:t xml:space="preserve"> </w:t>
      </w:r>
      <w:r w:rsidRPr="0066679E">
        <w:rPr>
          <w:rFonts w:ascii="Times New Roman" w:eastAsia="Times New Roman" w:hAnsi="Times New Roman" w:cs="Times New Roman"/>
          <w:i/>
          <w:iCs/>
          <w:color w:val="212529"/>
          <w:sz w:val="24"/>
          <w:szCs w:val="24"/>
        </w:rPr>
        <w:t>Crane</w:t>
      </w:r>
      <w:r w:rsidRPr="0066679E">
        <w:rPr>
          <w:rFonts w:ascii="Times New Roman" w:eastAsia="Times New Roman" w:hAnsi="Times New Roman" w:cs="Times New Roman"/>
          <w:color w:val="212529"/>
          <w:sz w:val="24"/>
          <w:szCs w:val="24"/>
        </w:rPr>
        <w:t> v. </w:t>
      </w:r>
      <w:r w:rsidRPr="0066679E">
        <w:rPr>
          <w:rFonts w:ascii="Times New Roman" w:eastAsia="Times New Roman" w:hAnsi="Times New Roman" w:cs="Times New Roman"/>
          <w:i/>
          <w:iCs/>
          <w:color w:val="212529"/>
          <w:sz w:val="24"/>
          <w:szCs w:val="24"/>
        </w:rPr>
        <w:t>Secoy</w:t>
      </w:r>
      <w:r w:rsidRPr="0066679E">
        <w:rPr>
          <w:rFonts w:ascii="Times New Roman" w:eastAsia="Times New Roman" w:hAnsi="Times New Roman" w:cs="Times New Roman"/>
          <w:color w:val="212529"/>
          <w:sz w:val="24"/>
          <w:szCs w:val="24"/>
        </w:rPr>
        <w:t>, 103 Ohio St. 258, 132 N.E. 851, 18 A.L.R. 979.</w:t>
      </w:r>
      <w:r w:rsidR="00345E49">
        <w:rPr>
          <w:rFonts w:ascii="Times New Roman" w:eastAsia="Times New Roman" w:hAnsi="Times New Roman" w:cs="Times New Roman"/>
          <w:color w:val="212529"/>
          <w:sz w:val="24"/>
          <w:szCs w:val="24"/>
        </w:rPr>
        <w:t xml:space="preserve"> </w:t>
      </w:r>
      <w:r w:rsidR="00345E49" w:rsidRPr="00345E49">
        <w:rPr>
          <w:rFonts w:ascii="Times New Roman" w:eastAsia="Times New Roman" w:hAnsi="Times New Roman" w:cs="Times New Roman"/>
          <w:b/>
          <w:bCs/>
          <w:color w:val="212529"/>
          <w:sz w:val="24"/>
          <w:szCs w:val="24"/>
        </w:rPr>
        <w:t>Such as the CRIS fund!</w:t>
      </w:r>
      <w:r w:rsidR="00345E49">
        <w:rPr>
          <w:rFonts w:ascii="Times New Roman" w:eastAsia="Times New Roman" w:hAnsi="Times New Roman" w:cs="Times New Roman"/>
          <w:color w:val="212529"/>
          <w:sz w:val="24"/>
          <w:szCs w:val="24"/>
        </w:rPr>
        <w:t xml:space="preserve"> Yet no Public accountability, no Public oversight, apparently an act of FRAUD and Unjust Enrichment! </w:t>
      </w:r>
    </w:p>
    <w:p w14:paraId="737CAE08" w14:textId="51A6E243" w:rsidR="0066679E" w:rsidRPr="0066679E" w:rsidRDefault="00345E49" w:rsidP="0066679E">
      <w:pPr>
        <w:spacing w:after="100" w:afterAutospacing="1"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w:t>
      </w:r>
      <w:r w:rsidR="0066679E" w:rsidRPr="0066679E">
        <w:rPr>
          <w:rFonts w:ascii="Times New Roman" w:eastAsia="Times New Roman" w:hAnsi="Times New Roman" w:cs="Times New Roman"/>
          <w:color w:val="212529"/>
          <w:sz w:val="24"/>
          <w:szCs w:val="24"/>
        </w:rPr>
        <w:t xml:space="preserve">The defendants strongly rely on acts of their predecessors in office, who, they say, acting on the advice of the attorney general, </w:t>
      </w:r>
      <w:r w:rsidR="0066679E" w:rsidRPr="0066679E">
        <w:rPr>
          <w:rFonts w:ascii="Times New Roman" w:eastAsia="Times New Roman" w:hAnsi="Times New Roman" w:cs="Times New Roman"/>
          <w:b/>
          <w:bCs/>
          <w:color w:val="212529"/>
          <w:sz w:val="24"/>
          <w:szCs w:val="24"/>
        </w:rPr>
        <w:t>established the usage or custom of making investments</w:t>
      </w:r>
      <w:r w:rsidR="0066679E" w:rsidRPr="0066679E">
        <w:rPr>
          <w:rFonts w:ascii="Times New Roman" w:eastAsia="Times New Roman" w:hAnsi="Times New Roman" w:cs="Times New Roman"/>
          <w:color w:val="212529"/>
          <w:sz w:val="24"/>
          <w:szCs w:val="24"/>
        </w:rPr>
        <w:t xml:space="preserve"> of the school fund in private securities, and over a long term of years; </w:t>
      </w:r>
      <w:r w:rsidR="0066679E" w:rsidRPr="0066679E">
        <w:rPr>
          <w:rFonts w:ascii="Times New Roman" w:eastAsia="Times New Roman" w:hAnsi="Times New Roman" w:cs="Times New Roman"/>
          <w:b/>
          <w:bCs/>
          <w:color w:val="212529"/>
          <w:sz w:val="24"/>
          <w:szCs w:val="24"/>
        </w:rPr>
        <w:t>they contend that the interpretation and construction of the constitution and statutes, adopted by their predecessors in office, and followed by such investments, furnishes an excuse for their own conduct in making the loan here under attack</w:t>
      </w:r>
      <w:r w:rsidR="0066679E" w:rsidRPr="0066679E">
        <w:rPr>
          <w:rFonts w:ascii="Times New Roman" w:eastAsia="Times New Roman" w:hAnsi="Times New Roman" w:cs="Times New Roman"/>
          <w:color w:val="212529"/>
          <w:sz w:val="24"/>
          <w:szCs w:val="24"/>
        </w:rPr>
        <w:t>. The opinion of Judge Brannon, in the case of </w:t>
      </w:r>
      <w:r w:rsidR="0066679E" w:rsidRPr="0066679E">
        <w:rPr>
          <w:rFonts w:ascii="Times New Roman" w:eastAsia="Times New Roman" w:hAnsi="Times New Roman" w:cs="Times New Roman"/>
          <w:i/>
          <w:iCs/>
          <w:color w:val="212529"/>
          <w:sz w:val="24"/>
          <w:szCs w:val="24"/>
        </w:rPr>
        <w:t>State</w:t>
      </w:r>
      <w:r w:rsidR="0066679E" w:rsidRPr="0066679E">
        <w:rPr>
          <w:rFonts w:ascii="Times New Roman" w:eastAsia="Times New Roman" w:hAnsi="Times New Roman" w:cs="Times New Roman"/>
          <w:color w:val="212529"/>
          <w:sz w:val="24"/>
          <w:szCs w:val="24"/>
        </w:rPr>
        <w:t> v. </w:t>
      </w:r>
      <w:r w:rsidR="0066679E" w:rsidRPr="0066679E">
        <w:rPr>
          <w:rFonts w:ascii="Times New Roman" w:eastAsia="Times New Roman" w:hAnsi="Times New Roman" w:cs="Times New Roman"/>
          <w:i/>
          <w:iCs/>
          <w:color w:val="212529"/>
          <w:sz w:val="24"/>
          <w:szCs w:val="24"/>
        </w:rPr>
        <w:t>Chilton</w:t>
      </w:r>
      <w:r w:rsidR="0066679E" w:rsidRPr="0066679E">
        <w:rPr>
          <w:rFonts w:ascii="Times New Roman" w:eastAsia="Times New Roman" w:hAnsi="Times New Roman" w:cs="Times New Roman"/>
          <w:color w:val="212529"/>
          <w:sz w:val="24"/>
          <w:szCs w:val="24"/>
        </w:rPr>
        <w:t>, 49 W. Va. 453, 39 S.E. 612, 614, which we quote below, furnishes the answer to this contention:</w:t>
      </w:r>
    </w:p>
    <w:p w14:paraId="112D5D93" w14:textId="77777777" w:rsidR="0066679E" w:rsidRDefault="0066679E" w:rsidP="0066679E">
      <w:pPr>
        <w:spacing w:after="100" w:line="240" w:lineRule="auto"/>
        <w:rPr>
          <w:rFonts w:ascii="Times New Roman" w:eastAsia="Times New Roman" w:hAnsi="Times New Roman" w:cs="Times New Roman"/>
          <w:color w:val="212529"/>
          <w:sz w:val="24"/>
          <w:szCs w:val="24"/>
        </w:rPr>
      </w:pPr>
      <w:r w:rsidRPr="0066679E">
        <w:rPr>
          <w:rFonts w:ascii="Times New Roman" w:eastAsia="Times New Roman" w:hAnsi="Times New Roman" w:cs="Times New Roman"/>
          <w:color w:val="212529"/>
          <w:sz w:val="24"/>
          <w:szCs w:val="24"/>
        </w:rPr>
        <w:t>"</w:t>
      </w:r>
      <w:r w:rsidRPr="0066679E">
        <w:rPr>
          <w:rFonts w:ascii="Times New Roman" w:eastAsia="Times New Roman" w:hAnsi="Times New Roman" w:cs="Times New Roman"/>
          <w:b/>
          <w:bCs/>
          <w:color w:val="212529"/>
          <w:sz w:val="24"/>
          <w:szCs w:val="24"/>
        </w:rPr>
        <w:t>Infinite authority exists for the law proposition that the powers and duties of all governmental officers 'are limited and defined by law</w:t>
      </w:r>
      <w:r w:rsidRPr="0066679E">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w:t>
      </w:r>
      <w:r w:rsidRPr="0066679E">
        <w:rPr>
          <w:rFonts w:ascii="Times New Roman" w:eastAsia="Times New Roman" w:hAnsi="Times New Roman" w:cs="Times New Roman"/>
          <w:color w:val="212529"/>
          <w:sz w:val="24"/>
          <w:szCs w:val="24"/>
        </w:rPr>
        <w:t xml:space="preserve"> where one exists as in this case. It is the sole criterion of authority, and no custom can enlarge or vitiate it. </w:t>
      </w:r>
      <w:r w:rsidRPr="0066679E">
        <w:rPr>
          <w:rFonts w:ascii="Times New Roman" w:eastAsia="Times New Roman" w:hAnsi="Times New Roman" w:cs="Times New Roman"/>
          <w:b/>
          <w:bCs/>
          <w:i/>
          <w:iCs/>
          <w:color w:val="212529"/>
          <w:sz w:val="24"/>
          <w:szCs w:val="24"/>
          <w:u w:val="single"/>
        </w:rPr>
        <w:t>The Floyd Acceptances, 7 Wall. 666.</w:t>
      </w:r>
      <w:r w:rsidRPr="0066679E">
        <w:rPr>
          <w:rFonts w:ascii="Times New Roman" w:eastAsia="Times New Roman" w:hAnsi="Times New Roman" w:cs="Times New Roman"/>
          <w:color w:val="212529"/>
          <w:sz w:val="24"/>
          <w:szCs w:val="24"/>
        </w:rPr>
        <w:t xml:space="preserve"> </w:t>
      </w:r>
      <w:r w:rsidRPr="0066679E">
        <w:rPr>
          <w:rFonts w:ascii="Times New Roman" w:eastAsia="Times New Roman" w:hAnsi="Times New Roman" w:cs="Times New Roman"/>
          <w:b/>
          <w:bCs/>
          <w:color w:val="212529"/>
          <w:sz w:val="24"/>
          <w:szCs w:val="24"/>
          <w:u w:val="single"/>
        </w:rPr>
        <w:t>This usage theory</w:t>
      </w:r>
      <w:r w:rsidRPr="0066679E">
        <w:rPr>
          <w:rFonts w:ascii="Times New Roman" w:eastAsia="Times New Roman" w:hAnsi="Times New Roman" w:cs="Times New Roman"/>
          <w:color w:val="212529"/>
          <w:sz w:val="24"/>
          <w:szCs w:val="24"/>
        </w:rPr>
        <w:t xml:space="preserve"> was assigned in the case just cited, </w:t>
      </w:r>
      <w:r w:rsidRPr="0066679E">
        <w:rPr>
          <w:rFonts w:ascii="Bodoni MT Black" w:eastAsia="Times New Roman" w:hAnsi="Bodoni MT Black" w:cs="Times New Roman"/>
          <w:b/>
          <w:bCs/>
          <w:color w:val="212529"/>
          <w:sz w:val="24"/>
          <w:szCs w:val="24"/>
          <w:u w:val="single"/>
        </w:rPr>
        <w:t>to bind the government to commercial paper</w:t>
      </w:r>
      <w:r w:rsidRPr="0066679E">
        <w:rPr>
          <w:rFonts w:ascii="Times New Roman" w:eastAsia="Times New Roman" w:hAnsi="Times New Roman" w:cs="Times New Roman"/>
          <w:color w:val="212529"/>
          <w:sz w:val="24"/>
          <w:szCs w:val="24"/>
        </w:rPr>
        <w:t xml:space="preserve"> </w:t>
      </w:r>
      <w:r w:rsidR="00700706">
        <w:rPr>
          <w:rFonts w:ascii="Times New Roman" w:eastAsia="Times New Roman" w:hAnsi="Times New Roman" w:cs="Times New Roman"/>
          <w:color w:val="212529"/>
          <w:sz w:val="24"/>
          <w:szCs w:val="24"/>
        </w:rPr>
        <w:t>…</w:t>
      </w:r>
      <w:r w:rsidRPr="0066679E">
        <w:rPr>
          <w:rFonts w:ascii="Times New Roman" w:eastAsia="Times New Roman" w:hAnsi="Times New Roman" w:cs="Times New Roman"/>
          <w:color w:val="212529"/>
          <w:sz w:val="24"/>
          <w:szCs w:val="24"/>
        </w:rPr>
        <w:t xml:space="preserve"> as it had been the custom for the secretary to make such acceptances; but </w:t>
      </w:r>
      <w:r w:rsidRPr="0066679E">
        <w:rPr>
          <w:rFonts w:ascii="Times New Roman" w:eastAsia="Times New Roman" w:hAnsi="Times New Roman" w:cs="Times New Roman"/>
          <w:b/>
          <w:bCs/>
          <w:color w:val="212529"/>
          <w:sz w:val="24"/>
          <w:szCs w:val="24"/>
          <w:u w:val="single"/>
        </w:rPr>
        <w:t>the court repudiated the doctrine upon the fixed principle that such custom could not prevail against law</w:t>
      </w:r>
      <w:r w:rsidRPr="0066679E">
        <w:rPr>
          <w:rFonts w:ascii="Times New Roman" w:eastAsia="Times New Roman" w:hAnsi="Times New Roman" w:cs="Times New Roman"/>
          <w:color w:val="212529"/>
          <w:sz w:val="24"/>
          <w:szCs w:val="24"/>
        </w:rPr>
        <w:t xml:space="preserve">. The court said that such </w:t>
      </w:r>
      <w:r w:rsidRPr="0066679E">
        <w:rPr>
          <w:rFonts w:ascii="Bahnschrift SemiBold" w:eastAsia="Times New Roman" w:hAnsi="Bahnschrift SemiBold" w:cs="Times New Roman"/>
          <w:color w:val="212529"/>
          <w:sz w:val="24"/>
          <w:szCs w:val="24"/>
        </w:rPr>
        <w:t>unauthorized acts by an officer, however frequent, could not stand as a foundation for the authority assumed. Such a practice (I will not call it custom or usage) such a personal practice of individual secretaries, cannot be upheld by this Court, because contrary to the plain import of the statute, and calculated to encourage loose official practice entailing loss on the State. There is no need or justification for it</w:t>
      </w:r>
      <w:r w:rsidRPr="0066679E">
        <w:rPr>
          <w:rFonts w:ascii="Times New Roman" w:eastAsia="Times New Roman" w:hAnsi="Times New Roman" w:cs="Times New Roman"/>
          <w:color w:val="212529"/>
          <w:sz w:val="24"/>
          <w:szCs w:val="24"/>
        </w:rPr>
        <w:t xml:space="preserve">. Another reason against the recognition of this practice is, that to be good, even as to an individual principal, </w:t>
      </w:r>
      <w:r w:rsidRPr="0066679E">
        <w:rPr>
          <w:rFonts w:ascii="Times New Roman" w:eastAsia="Times New Roman" w:hAnsi="Times New Roman" w:cs="Times New Roman"/>
          <w:i/>
          <w:iCs/>
          <w:color w:val="212529"/>
          <w:sz w:val="24"/>
          <w:szCs w:val="24"/>
          <w:u w:val="single"/>
        </w:rPr>
        <w:t>it must be brought home to the knowledge of that principal</w:t>
      </w:r>
      <w:r w:rsidRPr="0066679E">
        <w:rPr>
          <w:rFonts w:ascii="Times New Roman" w:eastAsia="Times New Roman" w:hAnsi="Times New Roman" w:cs="Times New Roman"/>
          <w:color w:val="212529"/>
          <w:sz w:val="24"/>
          <w:szCs w:val="24"/>
        </w:rPr>
        <w:t>. </w:t>
      </w:r>
      <w:r w:rsidRPr="0066679E">
        <w:rPr>
          <w:rFonts w:ascii="Times New Roman" w:eastAsia="Times New Roman" w:hAnsi="Times New Roman" w:cs="Times New Roman"/>
          <w:i/>
          <w:iCs/>
          <w:color w:val="212529"/>
          <w:sz w:val="24"/>
          <w:szCs w:val="24"/>
        </w:rPr>
        <w:t>Johnson</w:t>
      </w:r>
      <w:r w:rsidRPr="0066679E">
        <w:rPr>
          <w:rFonts w:ascii="Times New Roman" w:eastAsia="Times New Roman" w:hAnsi="Times New Roman" w:cs="Times New Roman"/>
          <w:color w:val="212529"/>
          <w:sz w:val="24"/>
          <w:szCs w:val="24"/>
        </w:rPr>
        <w:t> v. </w:t>
      </w:r>
      <w:r w:rsidRPr="0066679E">
        <w:rPr>
          <w:rFonts w:ascii="Times New Roman" w:eastAsia="Times New Roman" w:hAnsi="Times New Roman" w:cs="Times New Roman"/>
          <w:i/>
          <w:iCs/>
          <w:color w:val="212529"/>
          <w:sz w:val="24"/>
          <w:szCs w:val="24"/>
        </w:rPr>
        <w:t>Burns</w:t>
      </w:r>
      <w:r w:rsidRPr="0066679E">
        <w:rPr>
          <w:rFonts w:ascii="Times New Roman" w:eastAsia="Times New Roman" w:hAnsi="Times New Roman" w:cs="Times New Roman"/>
          <w:color w:val="212529"/>
          <w:sz w:val="24"/>
          <w:szCs w:val="24"/>
        </w:rPr>
        <w:t>, 39 W. Va. 658. How will you bring it home to the State? To what officer? To the Governor or Auditor, </w:t>
      </w:r>
      <w:r w:rsidRPr="0066679E">
        <w:rPr>
          <w:rFonts w:ascii="Times New Roman" w:eastAsia="Times New Roman" w:hAnsi="Times New Roman" w:cs="Times New Roman"/>
          <w:i/>
          <w:iCs/>
          <w:color w:val="212529"/>
          <w:sz w:val="24"/>
          <w:szCs w:val="24"/>
        </w:rPr>
        <w:t>surely not</w:t>
      </w:r>
      <w:r w:rsidRPr="0066679E">
        <w:rPr>
          <w:rFonts w:ascii="Times New Roman" w:eastAsia="Times New Roman" w:hAnsi="Times New Roman" w:cs="Times New Roman"/>
          <w:color w:val="212529"/>
          <w:sz w:val="24"/>
          <w:szCs w:val="24"/>
        </w:rPr>
        <w:t xml:space="preserve">? To the secretary himself? </w:t>
      </w:r>
      <w:r w:rsidRPr="0066679E">
        <w:rPr>
          <w:rFonts w:ascii="Bahnschrift Condensed" w:eastAsia="Times New Roman" w:hAnsi="Bahnschrift Condensed" w:cs="Times New Roman"/>
          <w:i/>
          <w:iCs/>
          <w:color w:val="212529"/>
          <w:sz w:val="24"/>
          <w:szCs w:val="24"/>
          <w:u w:val="single"/>
        </w:rPr>
        <w:t>A public officer cannot ratify expressly his own unauthorized act, and surely cannot do so by such mere</w:t>
      </w:r>
      <w:r w:rsidR="00700706">
        <w:rPr>
          <w:rFonts w:ascii="Bahnschrift Condensed" w:eastAsia="Times New Roman" w:hAnsi="Bahnschrift Condensed" w:cs="Times New Roman"/>
          <w:i/>
          <w:iCs/>
          <w:color w:val="212529"/>
          <w:sz w:val="24"/>
          <w:szCs w:val="24"/>
          <w:u w:val="single"/>
        </w:rPr>
        <w:t xml:space="preserve"> </w:t>
      </w:r>
      <w:r w:rsidRPr="0066679E">
        <w:rPr>
          <w:rFonts w:ascii="Bahnschrift Condensed" w:eastAsia="Times New Roman" w:hAnsi="Bahnschrift Condensed" w:cs="Times New Roman"/>
          <w:i/>
          <w:iCs/>
          <w:color w:val="212529"/>
          <w:sz w:val="24"/>
          <w:szCs w:val="24"/>
          <w:u w:val="single"/>
        </w:rPr>
        <w:t>implication</w:t>
      </w:r>
      <w:r w:rsidRPr="0066679E">
        <w:rPr>
          <w:rFonts w:ascii="Times New Roman" w:eastAsia="Times New Roman" w:hAnsi="Times New Roman" w:cs="Times New Roman"/>
          <w:color w:val="212529"/>
          <w:sz w:val="24"/>
          <w:szCs w:val="24"/>
        </w:rPr>
        <w:t>. </w:t>
      </w:r>
      <w:r w:rsidRPr="0066679E">
        <w:rPr>
          <w:rFonts w:ascii="Times New Roman" w:eastAsia="Times New Roman" w:hAnsi="Times New Roman" w:cs="Times New Roman"/>
          <w:i/>
          <w:iCs/>
          <w:color w:val="212529"/>
          <w:sz w:val="24"/>
          <w:szCs w:val="24"/>
        </w:rPr>
        <w:t>State</w:t>
      </w:r>
      <w:r w:rsidRPr="0066679E">
        <w:rPr>
          <w:rFonts w:ascii="Times New Roman" w:eastAsia="Times New Roman" w:hAnsi="Times New Roman" w:cs="Times New Roman"/>
          <w:color w:val="212529"/>
          <w:sz w:val="24"/>
          <w:szCs w:val="24"/>
        </w:rPr>
        <w:t> v. </w:t>
      </w:r>
      <w:r w:rsidRPr="0066679E">
        <w:rPr>
          <w:rFonts w:ascii="Times New Roman" w:eastAsia="Times New Roman" w:hAnsi="Times New Roman" w:cs="Times New Roman"/>
          <w:i/>
          <w:iCs/>
          <w:color w:val="212529"/>
          <w:sz w:val="24"/>
          <w:szCs w:val="24"/>
        </w:rPr>
        <w:t>Hays</w:t>
      </w:r>
      <w:r w:rsidRPr="0066679E">
        <w:rPr>
          <w:rFonts w:ascii="Times New Roman" w:eastAsia="Times New Roman" w:hAnsi="Times New Roman" w:cs="Times New Roman"/>
          <w:color w:val="212529"/>
          <w:sz w:val="24"/>
          <w:szCs w:val="24"/>
        </w:rPr>
        <w:t>, 52 Mo. 578; </w:t>
      </w:r>
      <w:r w:rsidRPr="0066679E">
        <w:rPr>
          <w:rFonts w:ascii="Times New Roman" w:eastAsia="Times New Roman" w:hAnsi="Times New Roman" w:cs="Times New Roman"/>
          <w:i/>
          <w:iCs/>
          <w:color w:val="212529"/>
          <w:sz w:val="24"/>
          <w:szCs w:val="24"/>
        </w:rPr>
        <w:t>Delafield</w:t>
      </w:r>
      <w:r w:rsidRPr="0066679E">
        <w:rPr>
          <w:rFonts w:ascii="Times New Roman" w:eastAsia="Times New Roman" w:hAnsi="Times New Roman" w:cs="Times New Roman"/>
          <w:color w:val="212529"/>
          <w:sz w:val="24"/>
          <w:szCs w:val="24"/>
        </w:rPr>
        <w:t> v. </w:t>
      </w:r>
      <w:r w:rsidRPr="0066679E">
        <w:rPr>
          <w:rFonts w:ascii="Times New Roman" w:eastAsia="Times New Roman" w:hAnsi="Times New Roman" w:cs="Times New Roman"/>
          <w:i/>
          <w:iCs/>
          <w:color w:val="212529"/>
          <w:sz w:val="24"/>
          <w:szCs w:val="24"/>
        </w:rPr>
        <w:t>State</w:t>
      </w:r>
      <w:r w:rsidRPr="0066679E">
        <w:rPr>
          <w:rFonts w:ascii="Times New Roman" w:eastAsia="Times New Roman" w:hAnsi="Times New Roman" w:cs="Times New Roman"/>
          <w:color w:val="212529"/>
          <w:sz w:val="24"/>
          <w:szCs w:val="24"/>
        </w:rPr>
        <w:t xml:space="preserve">, 26 Wend. 192. </w:t>
      </w:r>
      <w:r w:rsidRPr="0066679E">
        <w:rPr>
          <w:rFonts w:ascii="Times New Roman" w:eastAsia="Times New Roman" w:hAnsi="Times New Roman" w:cs="Times New Roman"/>
          <w:b/>
          <w:bCs/>
          <w:color w:val="212529"/>
          <w:sz w:val="24"/>
          <w:szCs w:val="24"/>
        </w:rPr>
        <w:t>Having no power to make credit sales, by his own knowledge that he did make them, neither he nor his predecessors could by that knowledge ratify the acts to protect themselves</w:t>
      </w:r>
      <w:r w:rsidR="00700706">
        <w:rPr>
          <w:rFonts w:ascii="Times New Roman" w:eastAsia="Times New Roman" w:hAnsi="Times New Roman" w:cs="Times New Roman"/>
          <w:color w:val="212529"/>
          <w:sz w:val="24"/>
          <w:szCs w:val="24"/>
        </w:rPr>
        <w:t>…</w:t>
      </w:r>
      <w:r w:rsidRPr="0066679E">
        <w:rPr>
          <w:rFonts w:ascii="Times New Roman" w:eastAsia="Times New Roman" w:hAnsi="Times New Roman" w:cs="Times New Roman"/>
          <w:color w:val="212529"/>
          <w:sz w:val="24"/>
          <w:szCs w:val="24"/>
        </w:rPr>
        <w:t>"</w:t>
      </w:r>
      <w:r w:rsidR="00386429">
        <w:rPr>
          <w:rFonts w:ascii="Times New Roman" w:eastAsia="Times New Roman" w:hAnsi="Times New Roman" w:cs="Times New Roman"/>
          <w:color w:val="212529"/>
          <w:sz w:val="24"/>
          <w:szCs w:val="24"/>
        </w:rPr>
        <w:t xml:space="preserve"> </w:t>
      </w:r>
      <w:r w:rsidRPr="0066679E">
        <w:rPr>
          <w:rFonts w:ascii="Times New Roman" w:eastAsia="Times New Roman" w:hAnsi="Times New Roman" w:cs="Times New Roman"/>
          <w:i/>
          <w:iCs/>
          <w:color w:val="212529"/>
          <w:sz w:val="24"/>
          <w:szCs w:val="24"/>
        </w:rPr>
        <w:t>State v. Conley</w:t>
      </w:r>
      <w:r w:rsidRPr="0066679E">
        <w:rPr>
          <w:rFonts w:ascii="Times New Roman" w:eastAsia="Times New Roman" w:hAnsi="Times New Roman" w:cs="Times New Roman"/>
          <w:color w:val="212529"/>
          <w:sz w:val="24"/>
          <w:szCs w:val="24"/>
        </w:rPr>
        <w:t>, 118 W. Va. 508, 530-32 (W. Va. 1937)</w:t>
      </w:r>
      <w:r w:rsidR="00386429">
        <w:rPr>
          <w:rFonts w:ascii="Times New Roman" w:eastAsia="Times New Roman" w:hAnsi="Times New Roman" w:cs="Times New Roman"/>
          <w:color w:val="212529"/>
          <w:sz w:val="24"/>
          <w:szCs w:val="24"/>
        </w:rPr>
        <w:t>.</w:t>
      </w:r>
    </w:p>
    <w:p w14:paraId="146B7CD6" w14:textId="77777777" w:rsidR="00386429" w:rsidRDefault="00386429" w:rsidP="0066679E">
      <w:pPr>
        <w:spacing w:after="100" w:line="240" w:lineRule="auto"/>
        <w:rPr>
          <w:rFonts w:ascii="Times New Roman" w:eastAsia="Times New Roman" w:hAnsi="Times New Roman" w:cs="Times New Roman"/>
          <w:color w:val="212529"/>
          <w:sz w:val="24"/>
          <w:szCs w:val="24"/>
        </w:rPr>
      </w:pPr>
    </w:p>
    <w:p w14:paraId="7AA0EC90" w14:textId="77777777" w:rsidR="00386429" w:rsidRDefault="00386429" w:rsidP="0066679E">
      <w:pPr>
        <w:spacing w:after="10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government created itself is a municipal corporation, however, that creation could never be believed to create a new standard of “public so-called policy”. Public policy is a presumptive policy, public policy has never been the law of the United States, public policy is nowhere found in the Constitution, nor was it ever implied in the Constitution. Public policy is a creature of presumption, a creature of statute. It is not believed that anyone and deny the aforementioned, because the Constitution was “to provide for the common defense and promote the general </w:t>
      </w:r>
      <w:r>
        <w:rPr>
          <w:rFonts w:ascii="Times New Roman" w:eastAsia="Times New Roman" w:hAnsi="Times New Roman" w:cs="Times New Roman"/>
          <w:color w:val="212529"/>
          <w:sz w:val="24"/>
          <w:szCs w:val="24"/>
        </w:rPr>
        <w:lastRenderedPageBreak/>
        <w:t>welfare and secure the blessings of liberty”, within the limits of government, not to expand or expound those limits beyond limitations as supported above.</w:t>
      </w:r>
    </w:p>
    <w:p w14:paraId="0AA053D1" w14:textId="77777777" w:rsidR="00386429" w:rsidRDefault="00386429" w:rsidP="0066679E">
      <w:pPr>
        <w:spacing w:after="100" w:line="240" w:lineRule="auto"/>
        <w:rPr>
          <w:rFonts w:ascii="Times New Roman" w:eastAsia="Times New Roman" w:hAnsi="Times New Roman" w:cs="Times New Roman"/>
          <w:color w:val="212529"/>
          <w:sz w:val="24"/>
          <w:szCs w:val="24"/>
        </w:rPr>
      </w:pPr>
    </w:p>
    <w:p w14:paraId="43BC2402" w14:textId="77777777" w:rsidR="00386429" w:rsidRDefault="00386429" w:rsidP="0066679E">
      <w:pPr>
        <w:spacing w:after="10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 trustee, a public official, a fiduciary, a public servant, a government official, a government agent, a government officer had never been authorized under any constitutional provision for having authority over beneficiary. This is not a matter of some opinion, this is a matter of law! All persons in the United States have the right to due process of law! In the United States, the law is the Bill of Rights at common law! The Northwest ordinance, the articles of Confederation and the Bill of Rights of the Constitution of the United States of America established a trust agreement between the parties. The preamble to the Constitution clearly documents the intent of the people to establish a trust agreement, the very first Bill of Rights</w:t>
      </w:r>
      <w:r w:rsidR="00A67093">
        <w:rPr>
          <w:rFonts w:ascii="Times New Roman" w:eastAsia="Times New Roman" w:hAnsi="Times New Roman" w:cs="Times New Roman"/>
          <w:color w:val="212529"/>
          <w:sz w:val="24"/>
          <w:szCs w:val="24"/>
        </w:rPr>
        <w:t xml:space="preserve"> set forth the limitations and will of the people respecting the government trust agreement.</w:t>
      </w:r>
    </w:p>
    <w:p w14:paraId="23BE4B94" w14:textId="77777777" w:rsidR="00A67093" w:rsidRDefault="00A67093" w:rsidP="0066679E">
      <w:pPr>
        <w:spacing w:after="100" w:line="240" w:lineRule="auto"/>
        <w:rPr>
          <w:rFonts w:ascii="Times New Roman" w:eastAsia="Times New Roman" w:hAnsi="Times New Roman" w:cs="Times New Roman"/>
          <w:color w:val="212529"/>
          <w:sz w:val="24"/>
          <w:szCs w:val="24"/>
        </w:rPr>
      </w:pPr>
    </w:p>
    <w:p w14:paraId="566620FD" w14:textId="77777777" w:rsidR="00A67093" w:rsidRDefault="00A67093" w:rsidP="0066679E">
      <w:pPr>
        <w:spacing w:after="10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 am not here argue, I am not here to defend myself, I am here to establish the fact that I am a beneficiary of that trust, I am one of the “Persons” mentioned in the Fifth Amendment that shall not be deprived of any significant property interests, property right, referring to inalienable or other rights without due process of the common law alluded to in the Declaration of Independence, for which it was held “a self-evident truth, that I am endowed by my God and possess inalienable rights”, rights that this body has no authority to Abrogate!</w:t>
      </w:r>
    </w:p>
    <w:p w14:paraId="270C7AE7" w14:textId="77777777" w:rsidR="00A67093" w:rsidRDefault="00A67093" w:rsidP="0066679E">
      <w:pPr>
        <w:spacing w:after="100" w:line="240" w:lineRule="auto"/>
        <w:rPr>
          <w:rFonts w:ascii="Times New Roman" w:eastAsia="Times New Roman" w:hAnsi="Times New Roman" w:cs="Times New Roman"/>
          <w:color w:val="212529"/>
          <w:sz w:val="24"/>
          <w:szCs w:val="24"/>
        </w:rPr>
      </w:pPr>
    </w:p>
    <w:bookmarkEnd w:id="0"/>
    <w:p w14:paraId="24D3C676" w14:textId="336A547B" w:rsidR="00A67093" w:rsidRDefault="00A67093" w:rsidP="0066679E">
      <w:pPr>
        <w:spacing w:after="10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So</w:t>
      </w:r>
      <w:r w:rsidR="00BE0953">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 xml:space="preserve"> once again, under what authority does this body claim it has authority to exercise jurisdiction over a beneficiary? Since when is a beneficiary “the res of the trust”? And why are you assuming authority over my time, my business, my interests, my property, my rights when it is well established that your authority prohibits you from subjugating a beneficiary?</w:t>
      </w:r>
    </w:p>
    <w:p w14:paraId="6B716ED6" w14:textId="77777777" w:rsidR="00A67093" w:rsidRDefault="00A67093" w:rsidP="0066679E">
      <w:pPr>
        <w:spacing w:after="100" w:line="240" w:lineRule="auto"/>
        <w:rPr>
          <w:rFonts w:ascii="Times New Roman" w:eastAsia="Times New Roman" w:hAnsi="Times New Roman" w:cs="Times New Roman"/>
          <w:color w:val="212529"/>
          <w:sz w:val="24"/>
          <w:szCs w:val="24"/>
        </w:rPr>
      </w:pPr>
    </w:p>
    <w:p w14:paraId="79B5FD00" w14:textId="77777777" w:rsidR="00A67093" w:rsidRDefault="00A67093" w:rsidP="0066679E">
      <w:pPr>
        <w:spacing w:after="100" w:line="240" w:lineRule="auto"/>
        <w:rPr>
          <w:rFonts w:ascii="Times New Roman" w:eastAsia="Times New Roman" w:hAnsi="Times New Roman" w:cs="Times New Roman"/>
          <w:bCs/>
          <w:color w:val="212529"/>
          <w:sz w:val="24"/>
          <w:szCs w:val="24"/>
        </w:rPr>
      </w:pPr>
      <w:r>
        <w:rPr>
          <w:rFonts w:ascii="Times New Roman" w:eastAsia="Times New Roman" w:hAnsi="Times New Roman" w:cs="Times New Roman"/>
          <w:color w:val="212529"/>
          <w:sz w:val="24"/>
          <w:szCs w:val="24"/>
        </w:rPr>
        <w:t xml:space="preserve">I find your actions to be appalling, I don’t want to have a debate, I don’t want to have an argument, I don’t want to get into a conversation as to what my rights are, and what my rights are not. What I do wish to highlight is the fact that you have not established any jurisdiction over my sentient person, over my property which is not a part of the trust, even if a legal fiction, a legal person, a juristic person were created, that thing being created as a matter of trust is still subordinate to my authority as a beneficiary, having a collateral interest in The </w:t>
      </w:r>
      <w:r w:rsidRPr="00A67093">
        <w:rPr>
          <w:rFonts w:ascii="Times New Roman" w:eastAsia="Times New Roman" w:hAnsi="Times New Roman" w:cs="Times New Roman"/>
          <w:b/>
          <w:color w:val="212529"/>
          <w:sz w:val="24"/>
          <w:szCs w:val="24"/>
        </w:rPr>
        <w:t>Trust</w:t>
      </w:r>
      <w:r>
        <w:rPr>
          <w:rFonts w:ascii="Times New Roman" w:eastAsia="Times New Roman" w:hAnsi="Times New Roman" w:cs="Times New Roman"/>
          <w:b/>
          <w:color w:val="212529"/>
          <w:sz w:val="24"/>
          <w:szCs w:val="24"/>
        </w:rPr>
        <w:t xml:space="preserve"> </w:t>
      </w:r>
      <w:r w:rsidRPr="00A67093">
        <w:rPr>
          <w:rFonts w:ascii="Times New Roman" w:eastAsia="Times New Roman" w:hAnsi="Times New Roman" w:cs="Times New Roman"/>
          <w:b/>
          <w:color w:val="212529"/>
          <w:sz w:val="24"/>
          <w:szCs w:val="24"/>
        </w:rPr>
        <w:t>Res,</w:t>
      </w:r>
      <w:r>
        <w:rPr>
          <w:rFonts w:ascii="Times New Roman" w:eastAsia="Times New Roman" w:hAnsi="Times New Roman" w:cs="Times New Roman"/>
          <w:b/>
          <w:color w:val="212529"/>
          <w:sz w:val="24"/>
          <w:szCs w:val="24"/>
        </w:rPr>
        <w:t xml:space="preserve"> </w:t>
      </w:r>
      <w:r w:rsidRPr="00A67093">
        <w:rPr>
          <w:rFonts w:ascii="Times New Roman" w:eastAsia="Times New Roman" w:hAnsi="Times New Roman" w:cs="Times New Roman"/>
          <w:bCs/>
          <w:color w:val="212529"/>
          <w:sz w:val="24"/>
          <w:szCs w:val="24"/>
        </w:rPr>
        <w:t>as well as ownership rights thereto.</w:t>
      </w:r>
    </w:p>
    <w:p w14:paraId="55B7F38B" w14:textId="77777777" w:rsidR="00A67093" w:rsidRDefault="00A67093" w:rsidP="0066679E">
      <w:pPr>
        <w:spacing w:after="100" w:line="240" w:lineRule="auto"/>
        <w:rPr>
          <w:rFonts w:ascii="Times New Roman" w:eastAsia="Times New Roman" w:hAnsi="Times New Roman" w:cs="Times New Roman"/>
          <w:bCs/>
          <w:color w:val="212529"/>
          <w:sz w:val="24"/>
          <w:szCs w:val="24"/>
        </w:rPr>
      </w:pPr>
    </w:p>
    <w:p w14:paraId="0D06EFCB" w14:textId="77777777" w:rsidR="00A67093" w:rsidRPr="0066679E" w:rsidRDefault="00A67093" w:rsidP="0066679E">
      <w:pPr>
        <w:spacing w:after="100" w:line="240" w:lineRule="auto"/>
        <w:rPr>
          <w:rFonts w:ascii="Times New Roman" w:eastAsia="Times New Roman" w:hAnsi="Times New Roman" w:cs="Times New Roman"/>
          <w:bCs/>
          <w:color w:val="212529"/>
          <w:sz w:val="24"/>
          <w:szCs w:val="24"/>
        </w:rPr>
      </w:pPr>
      <w:r>
        <w:rPr>
          <w:rFonts w:ascii="Times New Roman" w:eastAsia="Times New Roman" w:hAnsi="Times New Roman" w:cs="Times New Roman"/>
          <w:bCs/>
          <w:color w:val="212529"/>
          <w:sz w:val="24"/>
          <w:szCs w:val="24"/>
        </w:rPr>
        <w:t>You will explain yourself, or I will bring a claim against you for breach of your fiduciary duties respecting the trust, missed handling of the trust res, and interfering with my rights respecting my pursuit of happiness, my liberty, my freedoms respecting speech, movement, enjoyment, assembly as a member of the people of the United States, and a bona fide beneficiary of the trust agreement</w:t>
      </w:r>
      <w:r w:rsidR="00B7442A">
        <w:rPr>
          <w:rFonts w:ascii="Times New Roman" w:eastAsia="Times New Roman" w:hAnsi="Times New Roman" w:cs="Times New Roman"/>
          <w:bCs/>
          <w:color w:val="212529"/>
          <w:sz w:val="24"/>
          <w:szCs w:val="24"/>
        </w:rPr>
        <w:t>.</w:t>
      </w:r>
    </w:p>
    <w:p w14:paraId="5E29FF7C" w14:textId="77777777" w:rsidR="0066679E" w:rsidRDefault="0066679E"/>
    <w:p w14:paraId="0C3B0F7E" w14:textId="77777777" w:rsidR="00B7442A" w:rsidRDefault="00B7442A">
      <w:r>
        <w:t>The aforementioned documents that it is well established, that is a beneficiary of the trust, standing before trustee’s, you have no authority to call me into your arena, unless it’s to surrender the Res, and since that is your intent, I accept your offer, under the terms and conditions stated herein!</w:t>
      </w:r>
    </w:p>
    <w:p w14:paraId="50CE0746" w14:textId="77777777" w:rsidR="00B7442A" w:rsidRDefault="00B7442A"/>
    <w:p w14:paraId="0AF9F29B" w14:textId="77777777" w:rsidR="00B7442A" w:rsidRDefault="00B7442A">
      <w:r>
        <w:t xml:space="preserve">The aforementioned is true, only accurate, based on firsthand knowledge, information, facts and conclusions of actual law. This document is witnessed by and before God on this day </w:t>
      </w:r>
      <w:r w:rsidRPr="00B7442A">
        <w:rPr>
          <w:b/>
          <w:bCs/>
          <w:u w:val="single"/>
        </w:rPr>
        <w:t>September 1, 2021</w:t>
      </w:r>
      <w:r>
        <w:t xml:space="preserve"> as such under penalties of divine retribution if otherwise so help me God</w:t>
      </w:r>
    </w:p>
    <w:p w14:paraId="31DCE68C" w14:textId="77777777" w:rsidR="00B7442A" w:rsidRDefault="00B7442A"/>
    <w:p w14:paraId="02855238" w14:textId="77777777" w:rsidR="00B7442A" w:rsidRDefault="00B7442A">
      <w:r>
        <w:tab/>
      </w:r>
      <w:r>
        <w:tab/>
      </w:r>
      <w:r>
        <w:tab/>
      </w:r>
      <w:r>
        <w:tab/>
      </w:r>
      <w:r>
        <w:tab/>
      </w:r>
      <w:r>
        <w:tab/>
      </w:r>
      <w:r>
        <w:tab/>
      </w:r>
      <w:r>
        <w:tab/>
      </w:r>
      <w:r>
        <w:tab/>
        <w:t>(</w:t>
      </w:r>
      <w:r w:rsidRPr="00B7442A">
        <w:rPr>
          <w:b/>
          <w:bCs/>
        </w:rPr>
        <w:t>type your name</w:t>
      </w:r>
      <w:r>
        <w:t xml:space="preserve"> here)</w:t>
      </w:r>
    </w:p>
    <w:p w14:paraId="4FAFDB26" w14:textId="77777777" w:rsidR="00B7442A" w:rsidRDefault="00B7442A">
      <w:r>
        <w:tab/>
      </w:r>
      <w:r>
        <w:tab/>
      </w:r>
      <w:r>
        <w:tab/>
      </w:r>
      <w:r>
        <w:tab/>
      </w:r>
      <w:r>
        <w:tab/>
      </w:r>
      <w:r>
        <w:tab/>
      </w:r>
      <w:r>
        <w:tab/>
      </w:r>
      <w:r>
        <w:tab/>
        <w:t>“_________________________”</w:t>
      </w:r>
    </w:p>
    <w:p w14:paraId="2877327A" w14:textId="77777777" w:rsidR="00B7442A" w:rsidRDefault="00B7442A" w:rsidP="00B7442A">
      <w:pPr>
        <w:pStyle w:val="Header"/>
        <w:tabs>
          <w:tab w:val="clear" w:pos="4680"/>
          <w:tab w:val="clear" w:pos="9360"/>
        </w:tabs>
        <w:spacing w:after="160" w:line="259" w:lineRule="auto"/>
      </w:pPr>
      <w:r>
        <w:t xml:space="preserve">    </w:t>
      </w:r>
      <w:r>
        <w:tab/>
      </w:r>
      <w:r>
        <w:tab/>
      </w:r>
      <w:r>
        <w:tab/>
      </w:r>
      <w:r>
        <w:tab/>
      </w:r>
      <w:r>
        <w:tab/>
      </w:r>
      <w:r>
        <w:tab/>
      </w:r>
      <w:r>
        <w:tab/>
      </w:r>
      <w:r>
        <w:tab/>
        <w:t xml:space="preserve">    Autograph of UNDERWRITER</w:t>
      </w:r>
    </w:p>
    <w:p w14:paraId="7FD82B7D" w14:textId="77777777" w:rsidR="00B7442A" w:rsidRDefault="00B7442A" w:rsidP="00B7442A">
      <w:pPr>
        <w:ind w:left="5040" w:firstLine="720"/>
      </w:pPr>
      <w:r>
        <w:t xml:space="preserve">(and sign underneath </w:t>
      </w:r>
      <w:r w:rsidRPr="00B7442A">
        <w:rPr>
          <w:b/>
          <w:bCs/>
        </w:rPr>
        <w:t>your typed name</w:t>
      </w:r>
      <w:r>
        <w:t>)</w:t>
      </w:r>
    </w:p>
    <w:sectPr w:rsidR="00B7442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5E85F" w14:textId="77777777" w:rsidR="00163BB0" w:rsidRDefault="00163BB0" w:rsidP="00B7442A">
      <w:pPr>
        <w:spacing w:after="0" w:line="240" w:lineRule="auto"/>
      </w:pPr>
      <w:r>
        <w:separator/>
      </w:r>
    </w:p>
  </w:endnote>
  <w:endnote w:type="continuationSeparator" w:id="0">
    <w:p w14:paraId="33D4086E" w14:textId="77777777" w:rsidR="00163BB0" w:rsidRDefault="00163BB0" w:rsidP="00B7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652B0" w14:textId="77777777" w:rsidR="00163BB0" w:rsidRDefault="00163BB0" w:rsidP="00B7442A">
      <w:pPr>
        <w:spacing w:after="0" w:line="240" w:lineRule="auto"/>
      </w:pPr>
      <w:r>
        <w:separator/>
      </w:r>
    </w:p>
  </w:footnote>
  <w:footnote w:type="continuationSeparator" w:id="0">
    <w:p w14:paraId="4614CB68" w14:textId="77777777" w:rsidR="00163BB0" w:rsidRDefault="00163BB0" w:rsidP="00B7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4AF0D" w14:textId="77777777" w:rsidR="00B7442A" w:rsidRDefault="00B7442A">
    <w:pPr>
      <w:pStyle w:val="Header"/>
    </w:pPr>
    <w:r>
      <w:t>MY CHALLENGE TO YOUR PRESUMPTIVE JURISDICTION, and demand for immediate correction! Supported by affidavit: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C4077"/>
    <w:multiLevelType w:val="hybridMultilevel"/>
    <w:tmpl w:val="A8D44C44"/>
    <w:lvl w:ilvl="0" w:tplc="0B064F68">
      <w:start w:val="1"/>
      <w:numFmt w:val="upperRoman"/>
      <w:lvlText w:val="%1."/>
      <w:lvlJc w:val="left"/>
      <w:pPr>
        <w:ind w:left="1680" w:hanging="720"/>
      </w:pPr>
      <w:rPr>
        <w:rFonts w:ascii="Arial" w:eastAsiaTheme="minorHAnsi" w:hAnsi="Arial" w:cs="Arial" w:hint="default"/>
        <w:sz w:val="3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6EA10E-A55B-47A8-8F0A-EB4D6D1FB9BD}"/>
    <w:docVar w:name="dgnword-drafile" w:val="C:\Users\eeon\AppData\Local\Temp\draE6C.tmp"/>
    <w:docVar w:name="dgnword-eventsink" w:val="1720969660208"/>
  </w:docVars>
  <w:rsids>
    <w:rsidRoot w:val="0066679E"/>
    <w:rsid w:val="00163BB0"/>
    <w:rsid w:val="00345E49"/>
    <w:rsid w:val="00386429"/>
    <w:rsid w:val="005F19D5"/>
    <w:rsid w:val="006511F3"/>
    <w:rsid w:val="0066679E"/>
    <w:rsid w:val="00700706"/>
    <w:rsid w:val="0072182E"/>
    <w:rsid w:val="007352A1"/>
    <w:rsid w:val="0095343F"/>
    <w:rsid w:val="00A67093"/>
    <w:rsid w:val="00B7442A"/>
    <w:rsid w:val="00B928C6"/>
    <w:rsid w:val="00BE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6CC8"/>
  <w15:chartTrackingRefBased/>
  <w15:docId w15:val="{54A2D1FE-530A-4DD5-8119-71A4F66D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7218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667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679E"/>
    <w:rPr>
      <w:color w:val="0000FF"/>
      <w:u w:val="single"/>
    </w:rPr>
  </w:style>
  <w:style w:type="paragraph" w:styleId="NormalWeb">
    <w:name w:val="Normal (Web)"/>
    <w:basedOn w:val="Normal"/>
    <w:uiPriority w:val="99"/>
    <w:semiHidden/>
    <w:unhideWhenUsed/>
    <w:rsid w:val="006667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679E"/>
    <w:rPr>
      <w:i/>
      <w:iCs/>
    </w:rPr>
  </w:style>
  <w:style w:type="paragraph" w:customStyle="1" w:styleId="blockquote">
    <w:name w:val="blockquote"/>
    <w:basedOn w:val="Normal"/>
    <w:rsid w:val="009534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19D5"/>
    <w:pPr>
      <w:ind w:left="720"/>
      <w:contextualSpacing/>
    </w:pPr>
  </w:style>
  <w:style w:type="character" w:customStyle="1" w:styleId="Heading5Char">
    <w:name w:val="Heading 5 Char"/>
    <w:basedOn w:val="DefaultParagraphFont"/>
    <w:link w:val="Heading5"/>
    <w:uiPriority w:val="9"/>
    <w:rsid w:val="0072182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7442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74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42A"/>
  </w:style>
  <w:style w:type="paragraph" w:styleId="Footer">
    <w:name w:val="footer"/>
    <w:basedOn w:val="Normal"/>
    <w:link w:val="FooterChar"/>
    <w:uiPriority w:val="99"/>
    <w:unhideWhenUsed/>
    <w:rsid w:val="00B74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02640">
      <w:bodyDiv w:val="1"/>
      <w:marLeft w:val="0"/>
      <w:marRight w:val="0"/>
      <w:marTop w:val="0"/>
      <w:marBottom w:val="0"/>
      <w:divBdr>
        <w:top w:val="none" w:sz="0" w:space="0" w:color="auto"/>
        <w:left w:val="none" w:sz="0" w:space="0" w:color="auto"/>
        <w:bottom w:val="none" w:sz="0" w:space="0" w:color="auto"/>
        <w:right w:val="none" w:sz="0" w:space="0" w:color="auto"/>
      </w:divBdr>
    </w:div>
    <w:div w:id="696855105">
      <w:bodyDiv w:val="1"/>
      <w:marLeft w:val="0"/>
      <w:marRight w:val="0"/>
      <w:marTop w:val="0"/>
      <w:marBottom w:val="0"/>
      <w:divBdr>
        <w:top w:val="none" w:sz="0" w:space="0" w:color="auto"/>
        <w:left w:val="none" w:sz="0" w:space="0" w:color="auto"/>
        <w:bottom w:val="none" w:sz="0" w:space="0" w:color="auto"/>
        <w:right w:val="none" w:sz="0" w:space="0" w:color="auto"/>
      </w:divBdr>
      <w:divsChild>
        <w:div w:id="563566746">
          <w:marLeft w:val="960"/>
          <w:marRight w:val="0"/>
          <w:marTop w:val="0"/>
          <w:marBottom w:val="0"/>
          <w:divBdr>
            <w:top w:val="none" w:sz="0" w:space="0" w:color="auto"/>
            <w:left w:val="none" w:sz="0" w:space="0" w:color="auto"/>
            <w:bottom w:val="none" w:sz="0" w:space="0" w:color="auto"/>
            <w:right w:val="none" w:sz="0" w:space="0" w:color="auto"/>
          </w:divBdr>
        </w:div>
      </w:divsChild>
    </w:div>
    <w:div w:id="824127305">
      <w:bodyDiv w:val="1"/>
      <w:marLeft w:val="0"/>
      <w:marRight w:val="0"/>
      <w:marTop w:val="0"/>
      <w:marBottom w:val="0"/>
      <w:divBdr>
        <w:top w:val="none" w:sz="0" w:space="0" w:color="auto"/>
        <w:left w:val="none" w:sz="0" w:space="0" w:color="auto"/>
        <w:bottom w:val="none" w:sz="0" w:space="0" w:color="auto"/>
        <w:right w:val="none" w:sz="0" w:space="0" w:color="auto"/>
      </w:divBdr>
      <w:divsChild>
        <w:div w:id="79450658">
          <w:marLeft w:val="0"/>
          <w:marRight w:val="0"/>
          <w:marTop w:val="0"/>
          <w:marBottom w:val="0"/>
          <w:divBdr>
            <w:top w:val="none" w:sz="0" w:space="0" w:color="auto"/>
            <w:left w:val="none" w:sz="0" w:space="0" w:color="auto"/>
            <w:bottom w:val="none" w:sz="0" w:space="0" w:color="auto"/>
            <w:right w:val="none" w:sz="0" w:space="0" w:color="auto"/>
          </w:divBdr>
        </w:div>
        <w:div w:id="1214276076">
          <w:marLeft w:val="-225"/>
          <w:marRight w:val="-225"/>
          <w:marTop w:val="0"/>
          <w:marBottom w:val="0"/>
          <w:divBdr>
            <w:top w:val="none" w:sz="0" w:space="0" w:color="auto"/>
            <w:left w:val="none" w:sz="0" w:space="0" w:color="auto"/>
            <w:bottom w:val="none" w:sz="0" w:space="0" w:color="auto"/>
            <w:right w:val="none" w:sz="0" w:space="0" w:color="auto"/>
          </w:divBdr>
          <w:divsChild>
            <w:div w:id="1333026624">
              <w:marLeft w:val="0"/>
              <w:marRight w:val="0"/>
              <w:marTop w:val="0"/>
              <w:marBottom w:val="0"/>
              <w:divBdr>
                <w:top w:val="none" w:sz="0" w:space="0" w:color="auto"/>
                <w:left w:val="none" w:sz="0" w:space="0" w:color="auto"/>
                <w:bottom w:val="none" w:sz="0" w:space="0" w:color="auto"/>
                <w:right w:val="none" w:sz="0" w:space="0" w:color="auto"/>
              </w:divBdr>
              <w:divsChild>
                <w:div w:id="1546336265">
                  <w:marLeft w:val="0"/>
                  <w:marRight w:val="0"/>
                  <w:marTop w:val="0"/>
                  <w:marBottom w:val="0"/>
                  <w:divBdr>
                    <w:top w:val="none" w:sz="0" w:space="0" w:color="auto"/>
                    <w:left w:val="none" w:sz="0" w:space="0" w:color="auto"/>
                    <w:bottom w:val="none" w:sz="0" w:space="0" w:color="auto"/>
                    <w:right w:val="none" w:sz="0" w:space="0" w:color="auto"/>
                  </w:divBdr>
                  <w:divsChild>
                    <w:div w:id="55132921">
                      <w:marLeft w:val="0"/>
                      <w:marRight w:val="0"/>
                      <w:marTop w:val="0"/>
                      <w:marBottom w:val="0"/>
                      <w:divBdr>
                        <w:top w:val="none" w:sz="0" w:space="0" w:color="auto"/>
                        <w:left w:val="none" w:sz="0" w:space="0" w:color="auto"/>
                        <w:bottom w:val="none" w:sz="0" w:space="0" w:color="auto"/>
                        <w:right w:val="none" w:sz="0" w:space="0" w:color="auto"/>
                      </w:divBdr>
                      <w:divsChild>
                        <w:div w:id="772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1950">
      <w:bodyDiv w:val="1"/>
      <w:marLeft w:val="0"/>
      <w:marRight w:val="0"/>
      <w:marTop w:val="0"/>
      <w:marBottom w:val="0"/>
      <w:divBdr>
        <w:top w:val="none" w:sz="0" w:space="0" w:color="auto"/>
        <w:left w:val="none" w:sz="0" w:space="0" w:color="auto"/>
        <w:bottom w:val="none" w:sz="0" w:space="0" w:color="auto"/>
        <w:right w:val="none" w:sz="0" w:space="0" w:color="auto"/>
      </w:divBdr>
      <w:divsChild>
        <w:div w:id="1598245515">
          <w:marLeft w:val="960"/>
          <w:marRight w:val="0"/>
          <w:marTop w:val="0"/>
          <w:marBottom w:val="0"/>
          <w:divBdr>
            <w:top w:val="none" w:sz="0" w:space="0" w:color="auto"/>
            <w:left w:val="none" w:sz="0" w:space="0" w:color="auto"/>
            <w:bottom w:val="none" w:sz="0" w:space="0" w:color="auto"/>
            <w:right w:val="none" w:sz="0" w:space="0" w:color="auto"/>
          </w:divBdr>
          <w:divsChild>
            <w:div w:id="112323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3883238">
      <w:bodyDiv w:val="1"/>
      <w:marLeft w:val="0"/>
      <w:marRight w:val="0"/>
      <w:marTop w:val="0"/>
      <w:marBottom w:val="0"/>
      <w:divBdr>
        <w:top w:val="none" w:sz="0" w:space="0" w:color="auto"/>
        <w:left w:val="none" w:sz="0" w:space="0" w:color="auto"/>
        <w:bottom w:val="none" w:sz="0" w:space="0" w:color="auto"/>
        <w:right w:val="none" w:sz="0" w:space="0" w:color="auto"/>
      </w:divBdr>
      <w:divsChild>
        <w:div w:id="2081515507">
          <w:marLeft w:val="0"/>
          <w:marRight w:val="0"/>
          <w:marTop w:val="0"/>
          <w:marBottom w:val="0"/>
          <w:divBdr>
            <w:top w:val="none" w:sz="0" w:space="0" w:color="auto"/>
            <w:left w:val="none" w:sz="0" w:space="0" w:color="auto"/>
            <w:bottom w:val="none" w:sz="0" w:space="0" w:color="auto"/>
            <w:right w:val="none" w:sz="0" w:space="0" w:color="auto"/>
          </w:divBdr>
        </w:div>
        <w:div w:id="1035422041">
          <w:marLeft w:val="-225"/>
          <w:marRight w:val="-225"/>
          <w:marTop w:val="0"/>
          <w:marBottom w:val="0"/>
          <w:divBdr>
            <w:top w:val="none" w:sz="0" w:space="0" w:color="auto"/>
            <w:left w:val="none" w:sz="0" w:space="0" w:color="auto"/>
            <w:bottom w:val="none" w:sz="0" w:space="0" w:color="auto"/>
            <w:right w:val="none" w:sz="0" w:space="0" w:color="auto"/>
          </w:divBdr>
          <w:divsChild>
            <w:div w:id="1476752103">
              <w:marLeft w:val="0"/>
              <w:marRight w:val="0"/>
              <w:marTop w:val="0"/>
              <w:marBottom w:val="0"/>
              <w:divBdr>
                <w:top w:val="none" w:sz="0" w:space="0" w:color="auto"/>
                <w:left w:val="none" w:sz="0" w:space="0" w:color="auto"/>
                <w:bottom w:val="none" w:sz="0" w:space="0" w:color="auto"/>
                <w:right w:val="none" w:sz="0" w:space="0" w:color="auto"/>
              </w:divBdr>
              <w:divsChild>
                <w:div w:id="2004625703">
                  <w:marLeft w:val="0"/>
                  <w:marRight w:val="0"/>
                  <w:marTop w:val="0"/>
                  <w:marBottom w:val="0"/>
                  <w:divBdr>
                    <w:top w:val="none" w:sz="0" w:space="0" w:color="auto"/>
                    <w:left w:val="none" w:sz="0" w:space="0" w:color="auto"/>
                    <w:bottom w:val="none" w:sz="0" w:space="0" w:color="auto"/>
                    <w:right w:val="none" w:sz="0" w:space="0" w:color="auto"/>
                  </w:divBdr>
                  <w:divsChild>
                    <w:div w:id="1320109241">
                      <w:marLeft w:val="0"/>
                      <w:marRight w:val="0"/>
                      <w:marTop w:val="0"/>
                      <w:marBottom w:val="0"/>
                      <w:divBdr>
                        <w:top w:val="none" w:sz="0" w:space="0" w:color="auto"/>
                        <w:left w:val="none" w:sz="0" w:space="0" w:color="auto"/>
                        <w:bottom w:val="none" w:sz="0" w:space="0" w:color="auto"/>
                        <w:right w:val="none" w:sz="0" w:space="0" w:color="auto"/>
                      </w:divBdr>
                      <w:divsChild>
                        <w:div w:id="19168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seward-v-surety-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etext.com/case/seward-v-surety-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setext.com/case/w-jersey-traction-co-v-camden-horse-r-co" TargetMode="External"/><Relationship Id="rId4" Type="http://schemas.openxmlformats.org/officeDocument/2006/relationships/webSettings" Target="webSettings.xml"/><Relationship Id="rId9" Type="http://schemas.openxmlformats.org/officeDocument/2006/relationships/hyperlink" Target="https://casetext.com/case/ames-v-montcl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EEON</cp:lastModifiedBy>
  <cp:revision>5</cp:revision>
  <dcterms:created xsi:type="dcterms:W3CDTF">2021-10-01T11:56:00Z</dcterms:created>
  <dcterms:modified xsi:type="dcterms:W3CDTF">2021-10-02T01:59:00Z</dcterms:modified>
</cp:coreProperties>
</file>